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F1467" w14:textId="77777777" w:rsidR="00013777" w:rsidRDefault="00013777" w:rsidP="00013777">
      <w:pPr>
        <w:pStyle w:val="Corpodeltesto2"/>
        <w:rPr>
          <w:rFonts w:ascii="Tahoma" w:hAnsi="Tahoma" w:cs="Tahoma"/>
          <w:b/>
        </w:rPr>
      </w:pPr>
      <w:r>
        <w:rPr>
          <w:noProof/>
        </w:rPr>
        <w:drawing>
          <wp:anchor distT="0" distB="0" distL="114300" distR="114300" simplePos="0" relativeHeight="251659264" behindDoc="0" locked="0" layoutInCell="1" allowOverlap="1" wp14:anchorId="0563BC8F" wp14:editId="5E45706C">
            <wp:simplePos x="0" y="0"/>
            <wp:positionH relativeFrom="column">
              <wp:posOffset>2628900</wp:posOffset>
            </wp:positionH>
            <wp:positionV relativeFrom="paragraph">
              <wp:posOffset>0</wp:posOffset>
            </wp:positionV>
            <wp:extent cx="457200" cy="483235"/>
            <wp:effectExtent l="0" t="0" r="0" b="0"/>
            <wp:wrapSquare wrapText="right"/>
            <wp:docPr id="2" name="Immagine 2" descr="Logo%20Repub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Repubblic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483235"/>
                    </a:xfrm>
                    <a:prstGeom prst="rect">
                      <a:avLst/>
                    </a:prstGeom>
                    <a:solidFill>
                      <a:srgbClr val="008000"/>
                    </a:solid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28F6BB19" wp14:editId="1C747C16">
                <wp:simplePos x="0" y="0"/>
                <wp:positionH relativeFrom="column">
                  <wp:posOffset>2650490</wp:posOffset>
                </wp:positionH>
                <wp:positionV relativeFrom="paragraph">
                  <wp:posOffset>-537845</wp:posOffset>
                </wp:positionV>
                <wp:extent cx="114300" cy="114300"/>
                <wp:effectExtent l="7620" t="10160" r="11430" b="889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A8AF76" w14:textId="77777777" w:rsidR="00013777" w:rsidRDefault="00013777" w:rsidP="00013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F6BB19" id="_x0000_t202" coordsize="21600,21600" o:spt="202" path="m,l,21600r21600,l21600,xe">
                <v:stroke joinstyle="miter"/>
                <v:path gradientshapeok="t" o:connecttype="rect"/>
              </v:shapetype>
              <v:shape id="Casella di testo 1" o:spid="_x0000_s1026" type="#_x0000_t202" style="position:absolute;margin-left:208.7pt;margin-top:-42.3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rs0CwIAACoEAAAOAAAAZHJzL2Uyb0RvYy54bWysU9tu2zAMfR+wfxD0vtjJkq014hRdugwD&#10;ugvQ7QNkWY6FyaJGKbGzrx8lu2nQvRXzg0Ca1CF5eLS+GTrDjgq9Blvy+SznTFkJtbb7kv/8sXtz&#10;xZkPwtbCgFUlPynPbzavX617V6gFtGBqhYxArC96V/I2BFdkmZet6oSfgVOWgg1gJwK5uM9qFD2h&#10;dyZb5Pm7rAesHYJU3tPfuzHINwm/aZQM35rGq8BMyam3kE5MZxXPbLMWxR6Fa7Wc2hAv6KIT2lLR&#10;M9SdCIIdUP8D1WmJ4KEJMwldBk2jpUoz0DTz/Nk0D61wKs1C5Hh3psn/P1j59fjgviMLwwcYaIFp&#10;CO/uQf7yzMK2FXavbhGhb5WoqfA8Upb1zhfT1Ui1L3wEqfovUNOSxSFAAhoa7CIrNCcjdFrA6Uy6&#10;GgKTseR8+TaniKTQZMcKoni87NCHTwo6Fo2SI+00gYvjvQ9j6mNKrOXB6HqnjUkO7qutQXYUtP9d&#10;+lL/z9KMZX3Jr1eL1Tj/CyA6HUjIRnclv8rjN0orsvbR1klmQWgz2jSdsRONkbmRwzBUAyVGOiuo&#10;T0QowihYemBktIB/OOtJrCX3vw8CFWfms6WlXM+Xy6ju5CxX7xfk4GWkuowIKwmq5IGz0dyG8UUc&#10;HOp9S5VGGVi4pUU2OpH81NXUNwkyrWl6PFHxl37Kenrim78AAAD//wMAUEsDBBQABgAIAAAAIQBa&#10;eyef4AAAAAsBAAAPAAAAZHJzL2Rvd25yZXYueG1sTI/BToNAEIbvJr7DZky8mHYpIjTI0jSNxnOr&#10;F29bdgpEdhbYbaE+veNJj/PPl3++KTaz7cQFR986UrBaRiCQKmdaqhV8vL8u1iB80GR05wgVXNHD&#10;pry9KXRu3ER7vBxCLbiEfK4VNCH0uZS+atBqv3Q9Eu9ObrQ68DjW0ox64nLbyTiKUml1S3yh0T3u&#10;Gqy+DmerwE0vV+twiOKHz2/7ttsO+1M8KHV/N2+fQQScwx8Mv/qsDiU7Hd2ZjBedgmSVJYwqWKyT&#10;DAQTyeMTJ0dO0jQDWRby/w/lDwAAAP//AwBQSwECLQAUAAYACAAAACEAtoM4kv4AAADhAQAAEwAA&#10;AAAAAAAAAAAAAAAAAAAAW0NvbnRlbnRfVHlwZXNdLnhtbFBLAQItABQABgAIAAAAIQA4/SH/1gAA&#10;AJQBAAALAAAAAAAAAAAAAAAAAC8BAABfcmVscy8ucmVsc1BLAQItABQABgAIAAAAIQD9xrs0CwIA&#10;ACoEAAAOAAAAAAAAAAAAAAAAAC4CAABkcnMvZTJvRG9jLnhtbFBLAQItABQABgAIAAAAIQBaeyef&#10;4AAAAAsBAAAPAAAAAAAAAAAAAAAAAGUEAABkcnMvZG93bnJldi54bWxQSwUGAAAAAAQABADzAAAA&#10;cgUAAAAA&#10;" strokecolor="white">
                <v:textbox>
                  <w:txbxContent>
                    <w:p w14:paraId="62A8AF76" w14:textId="77777777" w:rsidR="00013777" w:rsidRDefault="00013777" w:rsidP="00013777"/>
                  </w:txbxContent>
                </v:textbox>
              </v:shape>
            </w:pict>
          </mc:Fallback>
        </mc:AlternateContent>
      </w:r>
    </w:p>
    <w:p w14:paraId="365E66E5" w14:textId="77777777" w:rsidR="00013777" w:rsidRDefault="00013777" w:rsidP="00013777">
      <w:pPr>
        <w:spacing w:line="456" w:lineRule="auto"/>
        <w:rPr>
          <w:rFonts w:ascii="Tahoma" w:hAnsi="Tahoma" w:cs="Tahoma"/>
          <w:b/>
        </w:rPr>
      </w:pPr>
    </w:p>
    <w:p w14:paraId="5E9E30DD" w14:textId="77777777" w:rsidR="00013777" w:rsidRDefault="00013777" w:rsidP="00013777">
      <w:pPr>
        <w:pStyle w:val="Titolo1"/>
        <w:spacing w:line="456" w:lineRule="auto"/>
        <w:jc w:val="center"/>
        <w:rPr>
          <w:b/>
          <w:sz w:val="28"/>
          <w:szCs w:val="28"/>
        </w:rPr>
      </w:pPr>
      <w:r>
        <w:rPr>
          <w:sz w:val="28"/>
          <w:szCs w:val="28"/>
        </w:rPr>
        <w:t>REPUBBLICA ITALIANA</w:t>
      </w:r>
    </w:p>
    <w:p w14:paraId="75C567AC" w14:textId="77777777" w:rsidR="00013777" w:rsidRDefault="00013777" w:rsidP="00013777">
      <w:pPr>
        <w:spacing w:line="456" w:lineRule="auto"/>
        <w:jc w:val="center"/>
        <w:rPr>
          <w:sz w:val="28"/>
        </w:rPr>
      </w:pPr>
      <w:r>
        <w:rPr>
          <w:sz w:val="28"/>
        </w:rPr>
        <w:t>IN NOME DEL POPOLO ITALIANO</w:t>
      </w:r>
    </w:p>
    <w:p w14:paraId="31272613" w14:textId="77777777" w:rsidR="00013777" w:rsidRDefault="00013777" w:rsidP="00013777">
      <w:pPr>
        <w:spacing w:line="456" w:lineRule="auto"/>
        <w:jc w:val="center"/>
        <w:rPr>
          <w:sz w:val="28"/>
        </w:rPr>
      </w:pPr>
      <w:r>
        <w:rPr>
          <w:sz w:val="28"/>
        </w:rPr>
        <w:t>TRIBUNALE DI VENEZIA</w:t>
      </w:r>
    </w:p>
    <w:p w14:paraId="45EC72A8" w14:textId="77777777" w:rsidR="00013777" w:rsidRDefault="00013777" w:rsidP="00013777">
      <w:pPr>
        <w:pStyle w:val="Titolo1"/>
        <w:spacing w:line="456" w:lineRule="auto"/>
        <w:jc w:val="center"/>
      </w:pPr>
      <w:r>
        <w:t xml:space="preserve">SEZIONE PER LE CONTROVERSIE </w:t>
      </w:r>
      <w:smartTag w:uri="urn:schemas-microsoft-com:office:smarttags" w:element="PersonName">
        <w:smartTagPr>
          <w:attr w:name="ProductID" w:val="DI LAVORO"/>
        </w:smartTagPr>
        <w:r>
          <w:t>DI LAVORO</w:t>
        </w:r>
      </w:smartTag>
    </w:p>
    <w:p w14:paraId="1AF76303" w14:textId="77777777" w:rsidR="00013777" w:rsidRDefault="00013777" w:rsidP="00013777">
      <w:pPr>
        <w:pStyle w:val="Titolo"/>
        <w:spacing w:line="456" w:lineRule="auto"/>
        <w:jc w:val="both"/>
        <w:rPr>
          <w:b/>
          <w:bCs/>
          <w:sz w:val="24"/>
        </w:rPr>
      </w:pPr>
    </w:p>
    <w:p w14:paraId="1F9E249C" w14:textId="77777777" w:rsidR="00013777" w:rsidRDefault="00013777" w:rsidP="00013777">
      <w:pPr>
        <w:pStyle w:val="Titolo"/>
        <w:spacing w:line="456" w:lineRule="auto"/>
        <w:jc w:val="both"/>
        <w:rPr>
          <w:b/>
          <w:bCs/>
          <w:sz w:val="24"/>
        </w:rPr>
      </w:pPr>
      <w:r>
        <w:rPr>
          <w:sz w:val="24"/>
        </w:rPr>
        <w:t>Il Giudice dott.ssa ANNA MENEGAZZO ha pronunciato la seguente</w:t>
      </w:r>
    </w:p>
    <w:p w14:paraId="10EF4932" w14:textId="77777777" w:rsidR="00013777" w:rsidRDefault="00013777" w:rsidP="00013777">
      <w:pPr>
        <w:pStyle w:val="Titolo"/>
        <w:spacing w:line="456" w:lineRule="auto"/>
        <w:rPr>
          <w:sz w:val="24"/>
        </w:rPr>
      </w:pPr>
      <w:r>
        <w:rPr>
          <w:sz w:val="24"/>
        </w:rPr>
        <w:t>SENTENZA CONTESTUALE AI SENSI DELL’ART. 429 c.p.c.</w:t>
      </w:r>
    </w:p>
    <w:p w14:paraId="46D7B272" w14:textId="77777777" w:rsidR="00013777" w:rsidRDefault="00013777" w:rsidP="00013777">
      <w:pPr>
        <w:pStyle w:val="Titolo"/>
        <w:spacing w:line="456" w:lineRule="auto"/>
        <w:jc w:val="both"/>
        <w:rPr>
          <w:b/>
          <w:bCs/>
          <w:sz w:val="24"/>
        </w:rPr>
      </w:pPr>
      <w:r>
        <w:rPr>
          <w:sz w:val="24"/>
        </w:rPr>
        <w:t>Nella controversia iscritta al n. 1775/2025 R.G., promossa con ricorso depositato in data 16.9.2025</w:t>
      </w:r>
    </w:p>
    <w:p w14:paraId="5BE58A7E" w14:textId="77777777" w:rsidR="00013777" w:rsidRDefault="00013777" w:rsidP="00013777">
      <w:pPr>
        <w:pStyle w:val="Titolo"/>
        <w:spacing w:line="456" w:lineRule="auto"/>
        <w:rPr>
          <w:spacing w:val="20"/>
          <w:sz w:val="24"/>
        </w:rPr>
      </w:pPr>
      <w:r>
        <w:rPr>
          <w:spacing w:val="20"/>
          <w:sz w:val="24"/>
        </w:rPr>
        <w:t>da</w:t>
      </w:r>
    </w:p>
    <w:p w14:paraId="0FFEDDC4" w14:textId="5BA0E7B0" w:rsidR="00013777" w:rsidRDefault="00C218C4" w:rsidP="00013777">
      <w:pPr>
        <w:pStyle w:val="Titolo"/>
        <w:spacing w:line="456" w:lineRule="auto"/>
        <w:jc w:val="both"/>
        <w:rPr>
          <w:sz w:val="24"/>
        </w:rPr>
      </w:pPr>
      <w:r>
        <w:rPr>
          <w:sz w:val="24"/>
        </w:rPr>
        <w:t>RICORRENTE</w:t>
      </w:r>
      <w:r w:rsidR="00013777">
        <w:rPr>
          <w:sz w:val="24"/>
        </w:rPr>
        <w:t>,</w:t>
      </w:r>
    </w:p>
    <w:p w14:paraId="3F8E6173" w14:textId="77777777" w:rsidR="00013777" w:rsidRDefault="00013777" w:rsidP="00013777">
      <w:pPr>
        <w:pStyle w:val="Titolo"/>
        <w:spacing w:line="456" w:lineRule="auto"/>
        <w:jc w:val="right"/>
        <w:rPr>
          <w:sz w:val="24"/>
        </w:rPr>
      </w:pPr>
      <w:r>
        <w:rPr>
          <w:sz w:val="24"/>
        </w:rPr>
        <w:t xml:space="preserve">                                                                                                       - ricorrente –</w:t>
      </w:r>
    </w:p>
    <w:p w14:paraId="543D49EC" w14:textId="77777777" w:rsidR="00013777" w:rsidRDefault="00013777" w:rsidP="00013777">
      <w:pPr>
        <w:pStyle w:val="Titolo"/>
        <w:spacing w:line="456" w:lineRule="auto"/>
        <w:jc w:val="both"/>
        <w:rPr>
          <w:b/>
          <w:bCs/>
          <w:sz w:val="24"/>
        </w:rPr>
      </w:pPr>
      <w:r>
        <w:rPr>
          <w:sz w:val="24"/>
        </w:rPr>
        <w:t xml:space="preserve">rappresentato e difeso dagli Avv.ti REGAZZO ROSSANA e BRAVIN DINO, come da mandato in calce al ricorso, con domicilio eletto presso il loro studio in </w:t>
      </w:r>
      <w:r w:rsidRPr="007E4653">
        <w:rPr>
          <w:sz w:val="24"/>
        </w:rPr>
        <w:t xml:space="preserve">Mestre (VE), Via Mestrina n. 77 </w:t>
      </w:r>
      <w:r>
        <w:rPr>
          <w:sz w:val="24"/>
        </w:rPr>
        <w:t xml:space="preserve"> </w:t>
      </w:r>
    </w:p>
    <w:p w14:paraId="4E49D812" w14:textId="77777777" w:rsidR="00013777" w:rsidRDefault="00013777" w:rsidP="00013777">
      <w:pPr>
        <w:pStyle w:val="Titolo"/>
        <w:spacing w:line="456" w:lineRule="auto"/>
        <w:rPr>
          <w:spacing w:val="20"/>
          <w:sz w:val="24"/>
        </w:rPr>
      </w:pPr>
      <w:r>
        <w:rPr>
          <w:spacing w:val="20"/>
          <w:sz w:val="24"/>
        </w:rPr>
        <w:t>contro</w:t>
      </w:r>
    </w:p>
    <w:p w14:paraId="01F3159E" w14:textId="01267361" w:rsidR="00013777" w:rsidRDefault="00013777" w:rsidP="00013777">
      <w:pPr>
        <w:pStyle w:val="Titolo"/>
        <w:spacing w:line="456" w:lineRule="auto"/>
        <w:jc w:val="both"/>
        <w:rPr>
          <w:sz w:val="24"/>
        </w:rPr>
      </w:pPr>
      <w:r>
        <w:rPr>
          <w:sz w:val="24"/>
        </w:rPr>
        <w:t xml:space="preserve"> </w:t>
      </w:r>
      <w:r w:rsidR="00C218C4">
        <w:rPr>
          <w:sz w:val="24"/>
        </w:rPr>
        <w:t>CONVENUTO</w:t>
      </w:r>
      <w:r>
        <w:rPr>
          <w:sz w:val="24"/>
        </w:rPr>
        <w:t xml:space="preserve">., in persona del legale rappresentante </w:t>
      </w:r>
      <w:r>
        <w:rPr>
          <w:i/>
          <w:sz w:val="24"/>
        </w:rPr>
        <w:t>pro tempore</w:t>
      </w:r>
      <w:r>
        <w:rPr>
          <w:sz w:val="24"/>
        </w:rPr>
        <w:t>,</w:t>
      </w:r>
    </w:p>
    <w:p w14:paraId="6590F12A" w14:textId="77777777" w:rsidR="00013777" w:rsidRDefault="00013777" w:rsidP="00013777">
      <w:pPr>
        <w:pStyle w:val="Titolo"/>
        <w:spacing w:line="456" w:lineRule="auto"/>
        <w:jc w:val="both"/>
        <w:rPr>
          <w:b/>
          <w:bCs/>
          <w:sz w:val="24"/>
        </w:rPr>
      </w:pPr>
      <w:r>
        <w:rPr>
          <w:sz w:val="24"/>
        </w:rPr>
        <w:t xml:space="preserve">                                                                                                                                 – resistente -</w:t>
      </w:r>
    </w:p>
    <w:p w14:paraId="0480BCE5" w14:textId="77777777" w:rsidR="00013777" w:rsidRPr="007E4653" w:rsidRDefault="00013777" w:rsidP="00013777">
      <w:pPr>
        <w:pStyle w:val="Titolo"/>
        <w:spacing w:line="456" w:lineRule="auto"/>
        <w:jc w:val="both"/>
        <w:rPr>
          <w:b/>
          <w:bCs/>
          <w:sz w:val="24"/>
        </w:rPr>
      </w:pPr>
      <w:r>
        <w:rPr>
          <w:sz w:val="24"/>
        </w:rPr>
        <w:t xml:space="preserve">rappresentata e difesa dall’Avv. RIZZO AMALIA, come da mandato in calce alla comparsa di costituzione, con domicilio eletto presso il suo studio in </w:t>
      </w:r>
      <w:r w:rsidRPr="007E4653">
        <w:rPr>
          <w:sz w:val="24"/>
        </w:rPr>
        <w:t>Napoli, Via Francesco Crispi n. 107,</w:t>
      </w:r>
    </w:p>
    <w:p w14:paraId="59DB3F22" w14:textId="77777777" w:rsidR="00013777" w:rsidRDefault="00013777" w:rsidP="00013777">
      <w:pPr>
        <w:pStyle w:val="Titolo"/>
        <w:spacing w:line="456" w:lineRule="auto"/>
        <w:jc w:val="both"/>
        <w:rPr>
          <w:spacing w:val="20"/>
          <w:sz w:val="22"/>
        </w:rPr>
      </w:pPr>
      <w:r>
        <w:rPr>
          <w:spacing w:val="20"/>
          <w:sz w:val="22"/>
        </w:rPr>
        <w:t xml:space="preserve">OGGETTO: Risarcimento </w:t>
      </w:r>
      <w:proofErr w:type="spellStart"/>
      <w:proofErr w:type="gramStart"/>
      <w:r>
        <w:rPr>
          <w:spacing w:val="20"/>
          <w:sz w:val="22"/>
        </w:rPr>
        <w:t>danni:altre</w:t>
      </w:r>
      <w:proofErr w:type="spellEnd"/>
      <w:proofErr w:type="gramEnd"/>
      <w:r>
        <w:rPr>
          <w:spacing w:val="20"/>
          <w:sz w:val="22"/>
        </w:rPr>
        <w:t xml:space="preserve"> ipotesi.</w:t>
      </w:r>
    </w:p>
    <w:p w14:paraId="4B11E00E" w14:textId="77777777" w:rsidR="00013777" w:rsidRPr="008B4DE1" w:rsidRDefault="00013777" w:rsidP="00013777">
      <w:pPr>
        <w:pStyle w:val="Titolo"/>
        <w:spacing w:line="456" w:lineRule="auto"/>
        <w:jc w:val="both"/>
        <w:rPr>
          <w:spacing w:val="20"/>
          <w:sz w:val="24"/>
        </w:rPr>
      </w:pPr>
      <w:r w:rsidRPr="008B4DE1">
        <w:rPr>
          <w:spacing w:val="20"/>
          <w:sz w:val="24"/>
        </w:rPr>
        <w:t>CONCLUSIONI</w:t>
      </w:r>
    </w:p>
    <w:p w14:paraId="07CD57B9" w14:textId="77777777" w:rsidR="00013777" w:rsidRPr="008B4DE1" w:rsidRDefault="00013777" w:rsidP="00013777">
      <w:pPr>
        <w:pStyle w:val="Titolo"/>
        <w:spacing w:line="456" w:lineRule="auto"/>
        <w:jc w:val="both"/>
        <w:rPr>
          <w:sz w:val="22"/>
          <w:szCs w:val="22"/>
          <w:u w:val="single"/>
        </w:rPr>
      </w:pPr>
      <w:r w:rsidRPr="008B4DE1">
        <w:rPr>
          <w:sz w:val="22"/>
          <w:szCs w:val="22"/>
          <w:u w:val="single"/>
        </w:rPr>
        <w:lastRenderedPageBreak/>
        <w:t>Per parte ricorrente:</w:t>
      </w:r>
    </w:p>
    <w:p w14:paraId="6BAB177E" w14:textId="77777777" w:rsidR="00013777" w:rsidRPr="000A23C4" w:rsidRDefault="00013777" w:rsidP="00013777">
      <w:pPr>
        <w:pStyle w:val="Titolo"/>
        <w:spacing w:line="456" w:lineRule="auto"/>
        <w:ind w:left="426"/>
        <w:jc w:val="both"/>
        <w:rPr>
          <w:sz w:val="22"/>
          <w:szCs w:val="22"/>
        </w:rPr>
      </w:pPr>
    </w:p>
    <w:p w14:paraId="1DB11AF6" w14:textId="77777777" w:rsidR="00013777" w:rsidRPr="000A23C4" w:rsidRDefault="00013777" w:rsidP="00013777">
      <w:pPr>
        <w:pStyle w:val="Titolo"/>
        <w:spacing w:line="456" w:lineRule="auto"/>
        <w:ind w:left="426"/>
        <w:jc w:val="both"/>
        <w:rPr>
          <w:b/>
          <w:bCs/>
          <w:sz w:val="22"/>
          <w:szCs w:val="22"/>
        </w:rPr>
      </w:pPr>
      <w:r w:rsidRPr="000A23C4">
        <w:rPr>
          <w:sz w:val="22"/>
          <w:szCs w:val="22"/>
        </w:rPr>
        <w:t xml:space="preserve">1) Previa ogni declaratoria, dichiararsi l’inefficacia, la nullità, ovvero l’illegittimità del licenziamento/risoluzione del rapporto intimato al ricorrente, per i motivi esposti in premessa o per quei diversi motivi che venissero ravvisati. </w:t>
      </w:r>
    </w:p>
    <w:p w14:paraId="2E640F48" w14:textId="77777777" w:rsidR="00013777" w:rsidRPr="000A23C4" w:rsidRDefault="00013777" w:rsidP="00013777">
      <w:pPr>
        <w:pStyle w:val="Titolo"/>
        <w:spacing w:line="456" w:lineRule="auto"/>
        <w:ind w:left="426"/>
        <w:jc w:val="both"/>
        <w:rPr>
          <w:b/>
          <w:bCs/>
          <w:sz w:val="22"/>
          <w:szCs w:val="22"/>
        </w:rPr>
      </w:pPr>
      <w:r w:rsidRPr="000A23C4">
        <w:rPr>
          <w:sz w:val="22"/>
          <w:szCs w:val="22"/>
        </w:rPr>
        <w:t xml:space="preserve">2) Per l’effetto, condannarsi la società convenuta al risarcimento del danno per la risoluzione del rapporto ante tempus in favore del sig. Atef Ben Nasr in misura pari alle retribuzioni perdute sino al 30.6.2025, per la somma complessiva di € 2.348,71, oltre interessi e rivalutazione dal dovuto al saldo, o quella diversa misura ritenuta di giustizia. </w:t>
      </w:r>
    </w:p>
    <w:p w14:paraId="4FAB14AC" w14:textId="77777777" w:rsidR="00013777" w:rsidRPr="000A23C4" w:rsidRDefault="00013777" w:rsidP="00013777">
      <w:pPr>
        <w:pStyle w:val="Titolo"/>
        <w:spacing w:line="456" w:lineRule="auto"/>
        <w:ind w:left="426"/>
        <w:jc w:val="both"/>
        <w:rPr>
          <w:b/>
          <w:bCs/>
          <w:sz w:val="22"/>
          <w:szCs w:val="22"/>
        </w:rPr>
      </w:pPr>
      <w:r w:rsidRPr="000A23C4">
        <w:rPr>
          <w:sz w:val="22"/>
          <w:szCs w:val="22"/>
        </w:rPr>
        <w:t xml:space="preserve">3) Spese rifuse, da distrarsi in favore dei sottoscritti procuratori che si dichiarano </w:t>
      </w:r>
      <w:proofErr w:type="spellStart"/>
      <w:r w:rsidRPr="000A23C4">
        <w:rPr>
          <w:sz w:val="22"/>
          <w:szCs w:val="22"/>
        </w:rPr>
        <w:t>distrattarii</w:t>
      </w:r>
      <w:proofErr w:type="spellEnd"/>
      <w:r w:rsidRPr="000A23C4">
        <w:rPr>
          <w:sz w:val="22"/>
          <w:szCs w:val="22"/>
        </w:rPr>
        <w:t>. Quanto alla determinazione delle spese legali se ne chiede la liquidazione con la maggiorazione del 30% prevista “</w:t>
      </w:r>
      <w:r w:rsidRPr="000A23C4">
        <w:rPr>
          <w:i/>
          <w:iCs/>
          <w:sz w:val="22"/>
          <w:szCs w:val="22"/>
        </w:rPr>
        <w:t>quando gli atti depositati con modalità telematiche sono redatti con tecniche informatiche idonee ad agevolarne la consultazione o la fruizione e, in particolare, quando esse consentono la ricerca testuale all’interno dell’atto e dei documenti allegati</w:t>
      </w:r>
      <w:r w:rsidRPr="000A23C4">
        <w:rPr>
          <w:sz w:val="22"/>
          <w:szCs w:val="22"/>
        </w:rPr>
        <w:t xml:space="preserve">”, ex D.M. n. 55/2014 art. 4, comma 1-bis, introdotto dal D.M. n. 37/2018. </w:t>
      </w:r>
    </w:p>
    <w:p w14:paraId="7144EA51" w14:textId="77777777" w:rsidR="00013777" w:rsidRPr="000A23C4" w:rsidRDefault="00013777" w:rsidP="00013777">
      <w:pPr>
        <w:pStyle w:val="Titolo"/>
        <w:spacing w:line="456" w:lineRule="auto"/>
        <w:ind w:left="426"/>
        <w:jc w:val="both"/>
        <w:rPr>
          <w:b/>
          <w:bCs/>
          <w:sz w:val="22"/>
          <w:szCs w:val="22"/>
        </w:rPr>
      </w:pPr>
      <w:r w:rsidRPr="000A23C4">
        <w:rPr>
          <w:sz w:val="22"/>
          <w:szCs w:val="22"/>
        </w:rPr>
        <w:t>3) Sentenza esecutiva.</w:t>
      </w:r>
    </w:p>
    <w:p w14:paraId="7BDE0B7A" w14:textId="77777777" w:rsidR="00013777" w:rsidRPr="008B4DE1" w:rsidRDefault="00013777" w:rsidP="00013777">
      <w:pPr>
        <w:pStyle w:val="Titolo"/>
        <w:spacing w:line="456" w:lineRule="auto"/>
        <w:jc w:val="both"/>
        <w:rPr>
          <w:sz w:val="22"/>
          <w:szCs w:val="22"/>
          <w:u w:val="single"/>
        </w:rPr>
      </w:pPr>
      <w:r w:rsidRPr="008B4DE1">
        <w:rPr>
          <w:sz w:val="22"/>
          <w:szCs w:val="22"/>
          <w:u w:val="single"/>
        </w:rPr>
        <w:t>Per parte resistente:</w:t>
      </w:r>
    </w:p>
    <w:p w14:paraId="106B3073" w14:textId="77777777" w:rsidR="00013777" w:rsidRPr="008B4DE1" w:rsidRDefault="00013777" w:rsidP="00013777">
      <w:pPr>
        <w:pStyle w:val="Titolo"/>
        <w:spacing w:line="456" w:lineRule="auto"/>
        <w:ind w:left="426"/>
        <w:jc w:val="both"/>
        <w:rPr>
          <w:b/>
          <w:bCs/>
          <w:sz w:val="24"/>
        </w:rPr>
      </w:pPr>
      <w:r w:rsidRPr="000D2E52">
        <w:rPr>
          <w:sz w:val="24"/>
        </w:rPr>
        <w:t>rigetto del ricorso, con vittoria di compenso di avvocato.</w:t>
      </w:r>
    </w:p>
    <w:p w14:paraId="7B2E5941" w14:textId="77777777" w:rsidR="00013777" w:rsidRPr="002E1E57" w:rsidRDefault="00013777" w:rsidP="00013777">
      <w:pPr>
        <w:pStyle w:val="Titolo"/>
        <w:spacing w:line="456" w:lineRule="auto"/>
        <w:rPr>
          <w:sz w:val="24"/>
          <w:u w:val="single"/>
        </w:rPr>
      </w:pPr>
      <w:r w:rsidRPr="002E1E57">
        <w:rPr>
          <w:sz w:val="24"/>
          <w:u w:val="single"/>
        </w:rPr>
        <w:t>RAGIONI DI FATTO E DI DIRITTO DELLA DECISIONE</w:t>
      </w:r>
    </w:p>
    <w:p w14:paraId="3C231CA2" w14:textId="77777777" w:rsidR="00013777" w:rsidRPr="00306AFC" w:rsidRDefault="00013777" w:rsidP="00013777">
      <w:pPr>
        <w:pStyle w:val="Paragrafoelenco"/>
        <w:numPr>
          <w:ilvl w:val="0"/>
          <w:numId w:val="1"/>
        </w:numPr>
        <w:spacing w:line="456" w:lineRule="auto"/>
        <w:ind w:left="567" w:hanging="567"/>
        <w:jc w:val="both"/>
      </w:pPr>
      <w:r>
        <w:rPr>
          <w:bCs/>
        </w:rPr>
        <w:t>Il ricorrente esponeva di avere prestato attività lavorativa alle dipendenze della convenuta, svolgente attività di agenzia per la fornitura di manodopera, dall’1.4.2025 al 30.6.2025, e di essersi assentato per malattia dal 29.5.2025 al 6.6.2025, periodo al termine del quale gli era stato riferito di essere stato licenziato – come in effetti risultante dalla comunicazione UNILAV, nella quale risultava essere stato licenziato per giustificato motivo soggettivo – senza alcuna comunicazione di licenziamento effettuata per iscritto. Da ciò deduceva la nullità ovvero l’illegittimità del licenziamento/</w:t>
      </w:r>
      <w:r w:rsidRPr="000A23C4">
        <w:rPr>
          <w:sz w:val="22"/>
          <w:szCs w:val="22"/>
        </w:rPr>
        <w:t>risoluzione del rapporto intimato</w:t>
      </w:r>
      <w:r>
        <w:rPr>
          <w:sz w:val="22"/>
          <w:szCs w:val="22"/>
        </w:rPr>
        <w:t>gli</w:t>
      </w:r>
      <w:r>
        <w:rPr>
          <w:bCs/>
        </w:rPr>
        <w:t xml:space="preserve"> per carenza di forma scritta o in subordine per assenza di previa contestazione disciplinare e comunque la sua illegittimità a fronte delle assenze giustificate, ed agiva in </w:t>
      </w:r>
      <w:r>
        <w:rPr>
          <w:bCs/>
        </w:rPr>
        <w:lastRenderedPageBreak/>
        <w:t xml:space="preserve">giudizio per la condanna della datrice di lavoro al risarcimento del danno pari alle retribuzioni perdute dal licenziamento fino alla scadenza pattuita, per complessivo importo di € 2.348,71, oltre accessori.  </w:t>
      </w:r>
    </w:p>
    <w:p w14:paraId="2A0E3CCF" w14:textId="77777777" w:rsidR="00013777" w:rsidRPr="00E556ED" w:rsidRDefault="00013777" w:rsidP="00013777">
      <w:pPr>
        <w:pStyle w:val="Paragrafoelenco"/>
        <w:numPr>
          <w:ilvl w:val="0"/>
          <w:numId w:val="1"/>
        </w:numPr>
        <w:spacing w:line="456" w:lineRule="auto"/>
        <w:ind w:left="567" w:hanging="567"/>
        <w:jc w:val="both"/>
      </w:pPr>
      <w:r>
        <w:rPr>
          <w:bCs/>
        </w:rPr>
        <w:t xml:space="preserve">Parte resistente sosteneva a sua volta che la cessazione del rapporto di lavoro era avvenuta a seguito dell’assenza ingiustificata del ricorrente dal 24.4.2025 al 19.5.2025, prolungatasi per oltre 15 giorni, per effetto della quale era stata attivata la procedura di cui all’art. 26, co. </w:t>
      </w:r>
      <w:proofErr w:type="gramStart"/>
      <w:r>
        <w:rPr>
          <w:bCs/>
        </w:rPr>
        <w:t>7</w:t>
      </w:r>
      <w:proofErr w:type="gramEnd"/>
      <w:r>
        <w:rPr>
          <w:bCs/>
        </w:rPr>
        <w:t xml:space="preserve"> bis, </w:t>
      </w:r>
      <w:proofErr w:type="spellStart"/>
      <w:r>
        <w:rPr>
          <w:bCs/>
        </w:rPr>
        <w:t>D.Lgs.</w:t>
      </w:r>
      <w:proofErr w:type="spellEnd"/>
      <w:r>
        <w:rPr>
          <w:bCs/>
        </w:rPr>
        <w:t xml:space="preserve"> 151/15. Concludeva quindi per il rigetto del ricorso eccependo in compensazione il debito del ricorrente derivante dal danno causato alla società, quantificabile nella misura delle retribuzioni mancanti fino alla scadenza del termine.</w:t>
      </w:r>
    </w:p>
    <w:p w14:paraId="7F3F8F63" w14:textId="77777777" w:rsidR="00013777" w:rsidRPr="00976FAB" w:rsidRDefault="00013777" w:rsidP="00013777">
      <w:pPr>
        <w:pStyle w:val="Paragrafoelenco"/>
        <w:numPr>
          <w:ilvl w:val="0"/>
          <w:numId w:val="1"/>
        </w:numPr>
        <w:spacing w:line="456" w:lineRule="auto"/>
        <w:ind w:left="567" w:hanging="567"/>
        <w:jc w:val="both"/>
      </w:pPr>
      <w:r>
        <w:rPr>
          <w:bCs/>
        </w:rPr>
        <w:t>La causa non necessitando di attività istruttoria perveniva in decisone all’udienza ordina, previo deposito di note conclusive.</w:t>
      </w:r>
    </w:p>
    <w:p w14:paraId="446CC007" w14:textId="77777777" w:rsidR="00013777" w:rsidRDefault="00013777" w:rsidP="00013777">
      <w:pPr>
        <w:spacing w:line="456" w:lineRule="auto"/>
        <w:ind w:firstLine="360"/>
        <w:jc w:val="center"/>
      </w:pPr>
      <w:r>
        <w:t>§   §   §   §   §   §   §   §   §   §   §   §   §</w:t>
      </w:r>
    </w:p>
    <w:p w14:paraId="1B0F9826" w14:textId="77777777" w:rsidR="00013777" w:rsidRDefault="00013777" w:rsidP="00013777">
      <w:pPr>
        <w:pStyle w:val="Paragrafoelenco"/>
        <w:numPr>
          <w:ilvl w:val="0"/>
          <w:numId w:val="1"/>
        </w:numPr>
        <w:spacing w:line="456" w:lineRule="auto"/>
        <w:ind w:left="567" w:hanging="567"/>
        <w:jc w:val="both"/>
      </w:pPr>
      <w:r>
        <w:t>Risulta documentalmente che il ricorrente, assunto dalla convenuta e da questa inviato in missione presso la s</w:t>
      </w:r>
      <w:r w:rsidRPr="00367493">
        <w:t>ocietà utilizzatrice</w:t>
      </w:r>
      <w:r>
        <w:t xml:space="preserve"> </w:t>
      </w:r>
      <w:r w:rsidRPr="00367493">
        <w:t xml:space="preserve">Marine Work System </w:t>
      </w:r>
      <w:r>
        <w:t>s.p.a., rimase assente ingiustificato dal 24.4.2025 al 19.5.2025; le assenze sono pacifiche, e la certificazione medica dimessa da parte ricorrente è riferita solo a periodo successivo, dal 30.5.2025 (doc. 5 ric.).</w:t>
      </w:r>
    </w:p>
    <w:p w14:paraId="404CA7D8" w14:textId="77777777" w:rsidR="00013777" w:rsidRDefault="00013777" w:rsidP="00013777">
      <w:pPr>
        <w:pStyle w:val="Paragrafoelenco"/>
        <w:numPr>
          <w:ilvl w:val="0"/>
          <w:numId w:val="1"/>
        </w:numPr>
        <w:spacing w:line="456" w:lineRule="auto"/>
        <w:ind w:left="567" w:hanging="567"/>
        <w:jc w:val="both"/>
      </w:pPr>
      <w:r>
        <w:t xml:space="preserve">La condotta del ricorrente, costituente illecito disciplinare passibile di licenziamento – il </w:t>
      </w:r>
      <w:proofErr w:type="gramStart"/>
      <w:r>
        <w:t>CCNL infatti</w:t>
      </w:r>
      <w:proofErr w:type="gramEnd"/>
      <w:r>
        <w:t xml:space="preserve"> prevede che il dipendente possa essere licenziato con preavviso in caso di assenze ingiustificate continuative per almeno 4 giorni – era stata oggetto di lettera di contestazione datata 8.5.2025 (doc. 7 </w:t>
      </w:r>
      <w:proofErr w:type="spellStart"/>
      <w:r>
        <w:t>resist</w:t>
      </w:r>
      <w:proofErr w:type="spellEnd"/>
      <w:r>
        <w:t>.), che tuttavia non risulta essere stata ricevuta dal ricorrente ed il procedimento disciplinare non è stato portato a compimento.</w:t>
      </w:r>
    </w:p>
    <w:p w14:paraId="57CFF298" w14:textId="77777777" w:rsidR="00013777" w:rsidRDefault="00013777" w:rsidP="00013777">
      <w:pPr>
        <w:pStyle w:val="Paragrafoelenco"/>
        <w:numPr>
          <w:ilvl w:val="0"/>
          <w:numId w:val="1"/>
        </w:numPr>
        <w:spacing w:line="456" w:lineRule="auto"/>
        <w:ind w:left="567" w:hanging="567"/>
        <w:jc w:val="both"/>
      </w:pPr>
      <w:r>
        <w:t xml:space="preserve">In seguito con istanza del 29.5.2025 (doc. 9 </w:t>
      </w:r>
      <w:proofErr w:type="spellStart"/>
      <w:r>
        <w:t>resist</w:t>
      </w:r>
      <w:proofErr w:type="spellEnd"/>
      <w:r>
        <w:t xml:space="preserve">.) la società si è attivata con la procedura di cui all’art. 26, co. </w:t>
      </w:r>
      <w:proofErr w:type="gramStart"/>
      <w:r>
        <w:t>7</w:t>
      </w:r>
      <w:proofErr w:type="gramEnd"/>
      <w:r>
        <w:t xml:space="preserve"> bis, </w:t>
      </w:r>
      <w:proofErr w:type="spellStart"/>
      <w:r>
        <w:t>D.Lgs.</w:t>
      </w:r>
      <w:proofErr w:type="spellEnd"/>
      <w:r>
        <w:t xml:space="preserve"> 151/15, facendo valere l’assenza ingiustificata del ricorrente dal 24.4.20125 al 19.5.2025 e quella successiva, dal 27.5.2025 fino al </w:t>
      </w:r>
      <w:r>
        <w:lastRenderedPageBreak/>
        <w:t>29.5.2025, comunicando con il modello UNILAV la cessazione del rapporto al 30.5.2025 per “licenziamento per giustificato motivo soggettivo” (doc. 6 ric.).</w:t>
      </w:r>
    </w:p>
    <w:p w14:paraId="5F9A84FD" w14:textId="77777777" w:rsidR="00013777" w:rsidRDefault="00013777" w:rsidP="00013777">
      <w:pPr>
        <w:pStyle w:val="Paragrafoelenco"/>
        <w:numPr>
          <w:ilvl w:val="0"/>
          <w:numId w:val="1"/>
        </w:numPr>
        <w:spacing w:line="456" w:lineRule="auto"/>
        <w:ind w:left="567" w:hanging="567"/>
        <w:jc w:val="both"/>
      </w:pPr>
      <w:r>
        <w:t>Va innanzitutto considerato che non può ritenersi intimato dalla società resistente un licenziamento, non ricorrendone i presupposti né formali – manca una comunicazione di licenziamento al lavoratore - né procedurali – la contestazione non è stata consegnata al ricorrente -, e comunque nell’ambito del contratto a tempo determinato il giustificato motivo soggettivo non costituisce causa legittima di risoluzione del rapporto.</w:t>
      </w:r>
    </w:p>
    <w:p w14:paraId="45ECBA99" w14:textId="77777777" w:rsidR="00013777" w:rsidRDefault="00013777" w:rsidP="00013777">
      <w:pPr>
        <w:pStyle w:val="Paragrafoelenco"/>
        <w:numPr>
          <w:ilvl w:val="0"/>
          <w:numId w:val="1"/>
        </w:numPr>
        <w:spacing w:line="456" w:lineRule="auto"/>
        <w:ind w:left="567" w:hanging="567"/>
        <w:jc w:val="both"/>
      </w:pPr>
      <w:r>
        <w:t xml:space="preserve">L’indicazione contenuta nel modello </w:t>
      </w:r>
      <w:proofErr w:type="spellStart"/>
      <w:r>
        <w:t>Unilav</w:t>
      </w:r>
      <w:proofErr w:type="spellEnd"/>
      <w:r>
        <w:t xml:space="preserve"> non preclude tuttavia di fare valere da parte della società una diversa causa di cessazione del rapporto, erroneamente rappresentata nel modello stesso, sicché è necessario verificare se ricorre la fattispecie disciplinata dall’art. 26, co. </w:t>
      </w:r>
      <w:proofErr w:type="gramStart"/>
      <w:r>
        <w:t>7</w:t>
      </w:r>
      <w:proofErr w:type="gramEnd"/>
      <w:r>
        <w:t xml:space="preserve"> bis, </w:t>
      </w:r>
      <w:proofErr w:type="spellStart"/>
      <w:r>
        <w:t>D.Lgs.</w:t>
      </w:r>
      <w:proofErr w:type="spellEnd"/>
      <w:r>
        <w:t xml:space="preserve"> 151/15, ai sensi del quale “</w:t>
      </w:r>
      <w:r w:rsidRPr="000E1D20">
        <w:t>In caso di assenza ingiustificata del lavoratore protratta oltre il termine previsto dal contratto collettivo nazionale di lavoro applicato al rapporto di lavoro o, in mancanza di previsione contrattuale, superiore a quindici giorni, il datore di lavoro ne dà comunicazione alla sede territoriale dell'Ispettorato nazionale del lavoro, che può verificare la veridicità della comunicazione medesima. Il rapporto di lavoro si intende risolto per volontà del lavoratore e non si applica la disciplina prevista dal presente articolo. Le disposizioni del secondo periodo non si applicano se il lavoratore dimostra l'impossibilità, per causa di forza maggiore o per fatto imputabile al datore di lavoro, di comunicare i motivi che giustificano la sua assenza</w:t>
      </w:r>
      <w:r>
        <w:t>”.</w:t>
      </w:r>
    </w:p>
    <w:p w14:paraId="25BF4D82" w14:textId="77777777" w:rsidR="00013777" w:rsidRDefault="00013777" w:rsidP="00013777">
      <w:pPr>
        <w:pStyle w:val="Paragrafoelenco"/>
        <w:numPr>
          <w:ilvl w:val="0"/>
          <w:numId w:val="1"/>
        </w:numPr>
        <w:spacing w:line="456" w:lineRule="auto"/>
        <w:ind w:left="567" w:hanging="567"/>
        <w:jc w:val="both"/>
      </w:pPr>
      <w:r>
        <w:t>Nel caso di specie sussistono in astratto i presupposti richiesti dalla norma, ovvero l’assenza ingiustificata del lavoratore protrattasi per oltre 15 giorni – anche se considerati unicamente i giorni lavorativi e tenendo conto del periodo di assenza continuativo dal 24.4 al 19.5 – e la comunicazione all’Ispettorato.</w:t>
      </w:r>
    </w:p>
    <w:p w14:paraId="370D4A78" w14:textId="77777777" w:rsidR="00013777" w:rsidRDefault="00013777" w:rsidP="00013777">
      <w:pPr>
        <w:pStyle w:val="Paragrafoelenco"/>
        <w:numPr>
          <w:ilvl w:val="0"/>
          <w:numId w:val="1"/>
        </w:numPr>
        <w:spacing w:line="456" w:lineRule="auto"/>
        <w:ind w:left="567" w:hanging="567"/>
        <w:jc w:val="both"/>
      </w:pPr>
      <w:r>
        <w:t xml:space="preserve">Va chiarito che sono da ritenersi irrilevanti le successive assenze dal 27 al 29 maggio 2025 pur indicate nella comunicazione all’Ispettorato, in quanto non in continuità rispetto </w:t>
      </w:r>
      <w:r>
        <w:lastRenderedPageBreak/>
        <w:t xml:space="preserve">alle precedenti, laddove l’art. 26, co. </w:t>
      </w:r>
      <w:proofErr w:type="gramStart"/>
      <w:r>
        <w:t>7</w:t>
      </w:r>
      <w:proofErr w:type="gramEnd"/>
      <w:r>
        <w:t xml:space="preserve"> bis, citato, deve ritenersi riferito alla sola ipotesi di assenze continuative sia per ragioni testuali che sistematiche.</w:t>
      </w:r>
    </w:p>
    <w:p w14:paraId="13EEBA0F" w14:textId="77777777" w:rsidR="00013777" w:rsidRDefault="00013777" w:rsidP="00013777">
      <w:pPr>
        <w:pStyle w:val="Paragrafoelenco"/>
        <w:numPr>
          <w:ilvl w:val="0"/>
          <w:numId w:val="1"/>
        </w:numPr>
        <w:spacing w:line="456" w:lineRule="auto"/>
        <w:ind w:left="567" w:hanging="567"/>
        <w:jc w:val="both"/>
      </w:pPr>
      <w:r>
        <w:t xml:space="preserve">Vi è tuttavia un indubbio contrasto tra la </w:t>
      </w:r>
      <w:proofErr w:type="spellStart"/>
      <w:r w:rsidRPr="00FE0A6C">
        <w:rPr>
          <w:i/>
          <w:iCs/>
        </w:rPr>
        <w:t>fictio</w:t>
      </w:r>
      <w:proofErr w:type="spellEnd"/>
      <w:r w:rsidRPr="00FE0A6C">
        <w:rPr>
          <w:i/>
          <w:iCs/>
        </w:rPr>
        <w:t xml:space="preserve"> iuris</w:t>
      </w:r>
      <w:r>
        <w:t xml:space="preserve"> stabilita dal legislatore (“</w:t>
      </w:r>
      <w:r w:rsidRPr="00AA0B42">
        <w:t>Il rapporto di lavoro si intende risolto per volontà del lavoratore</w:t>
      </w:r>
      <w:r>
        <w:t xml:space="preserve">”) e la circostanza che il rapporto abbia avuto esecuzione nelle giornate dal 19 al 22.4.2025, risultanti dalle buste paga e coerenti con la comunicazione effettuata dalla convenuta all’Ispettorato, giornate precedenti alla comunicazione all’Ispettorato. </w:t>
      </w:r>
    </w:p>
    <w:p w14:paraId="48648A78" w14:textId="77777777" w:rsidR="00013777" w:rsidRDefault="00013777" w:rsidP="00013777">
      <w:pPr>
        <w:pStyle w:val="Paragrafoelenco"/>
        <w:numPr>
          <w:ilvl w:val="0"/>
          <w:numId w:val="1"/>
        </w:numPr>
        <w:spacing w:line="456" w:lineRule="auto"/>
        <w:ind w:left="567" w:hanging="567"/>
        <w:jc w:val="both"/>
      </w:pPr>
      <w:r>
        <w:t xml:space="preserve">Posto che la prestazione resa nelle giornate in questione è incompatibile con la volontà del lavoratore di risolvere il rapporto, e per altro verso l’accettazione della prestazione è incompatibile con la volontà di avvalersi della risoluzione di cui all’art. 26, co. </w:t>
      </w:r>
      <w:proofErr w:type="gramStart"/>
      <w:r>
        <w:t>7</w:t>
      </w:r>
      <w:proofErr w:type="gramEnd"/>
      <w:r>
        <w:t xml:space="preserve"> bis, </w:t>
      </w:r>
      <w:proofErr w:type="spellStart"/>
      <w:r>
        <w:t>D.Lgs.</w:t>
      </w:r>
      <w:proofErr w:type="spellEnd"/>
      <w:r>
        <w:t xml:space="preserve"> 151/15, la fattispecie di risoluzione deve ritenersi nel caso di specie non verificata.</w:t>
      </w:r>
    </w:p>
    <w:p w14:paraId="54210033" w14:textId="77777777" w:rsidR="00013777" w:rsidRDefault="00013777" w:rsidP="00013777">
      <w:pPr>
        <w:pStyle w:val="Paragrafoelenco"/>
        <w:numPr>
          <w:ilvl w:val="0"/>
          <w:numId w:val="1"/>
        </w:numPr>
        <w:spacing w:line="456" w:lineRule="auto"/>
        <w:ind w:left="567" w:hanging="567"/>
        <w:jc w:val="both"/>
      </w:pPr>
      <w:r>
        <w:t>Se si ammettesse per il datore di lavoro la possibilità di avvalersi della modalità di risoluzione del rapporto in base a tale previsione pur dopo aver consentito al lavoratore di riprendere il lavoro dopo un periodo di assenza ingiustificata, si consentirebbe allo stesso di derogare alla disciplina in tema di licenziamento in assenza di idoneo fondamento – evidente che la risoluzione in questo caso, non potendo essere ricondotta alla volontà neppure implicita del lavoratore, costituirebbe una reazione all’assenza ingiustificata -, come evidente nella fattispecie in esame in cui il datore di lavoro aveva inizialmente attivato il procedimento disciplinare, per poi abbandonarlo verosimilmente per difficoltà nella consegna della lettera di contestazione.</w:t>
      </w:r>
    </w:p>
    <w:p w14:paraId="11117FDE" w14:textId="77777777" w:rsidR="00013777" w:rsidRDefault="00013777" w:rsidP="00013777">
      <w:pPr>
        <w:pStyle w:val="Paragrafoelenco"/>
        <w:numPr>
          <w:ilvl w:val="0"/>
          <w:numId w:val="1"/>
        </w:numPr>
        <w:spacing w:line="456" w:lineRule="auto"/>
        <w:ind w:left="567" w:hanging="567"/>
        <w:jc w:val="both"/>
      </w:pPr>
      <w:r>
        <w:t xml:space="preserve">Se anche volesse assegnarsi valore di presunzione assoluta alla </w:t>
      </w:r>
      <w:proofErr w:type="spellStart"/>
      <w:r w:rsidRPr="00D22024">
        <w:rPr>
          <w:i/>
          <w:iCs/>
        </w:rPr>
        <w:t>fictio</w:t>
      </w:r>
      <w:proofErr w:type="spellEnd"/>
      <w:r w:rsidRPr="00D22024">
        <w:rPr>
          <w:i/>
          <w:iCs/>
        </w:rPr>
        <w:t xml:space="preserve"> iuris</w:t>
      </w:r>
      <w:r>
        <w:t xml:space="preserve"> di cui all’art. 26, co. </w:t>
      </w:r>
      <w:proofErr w:type="gramStart"/>
      <w:r>
        <w:t>7</w:t>
      </w:r>
      <w:proofErr w:type="gramEnd"/>
      <w:r>
        <w:t xml:space="preserve"> bis, </w:t>
      </w:r>
      <w:proofErr w:type="spellStart"/>
      <w:r>
        <w:t>D.Lgs.</w:t>
      </w:r>
      <w:proofErr w:type="spellEnd"/>
      <w:r>
        <w:t xml:space="preserve"> 151/15, nella condotta del datore di lavoro consistente nell’accettazione della prestazione lavorativa del ricorrente successiva al periodo di assenza ingiustificata dovrebbe essere rinvenuta l’accettazione della revoca delle dimissioni.</w:t>
      </w:r>
    </w:p>
    <w:p w14:paraId="67632B3B" w14:textId="77777777" w:rsidR="00013777" w:rsidRDefault="00013777" w:rsidP="00013777">
      <w:pPr>
        <w:pStyle w:val="Paragrafoelenco"/>
        <w:numPr>
          <w:ilvl w:val="0"/>
          <w:numId w:val="1"/>
        </w:numPr>
        <w:spacing w:line="456" w:lineRule="auto"/>
        <w:ind w:left="567" w:hanging="567"/>
        <w:jc w:val="both"/>
      </w:pPr>
      <w:r>
        <w:t xml:space="preserve">In conclusione, deve ritenersi illegittima la condotta della convenuta che non ha dato esecuzione al rapporto di lavoro dal 30.5.2026, con diritto del ricorrente al risarcimento </w:t>
      </w:r>
      <w:r>
        <w:lastRenderedPageBreak/>
        <w:t xml:space="preserve">del danno da quantificarsi – in via presuntiva ed in assenza di diverse deduzioni -nell’importo che questi avrebbe percepito fino alla scadenza contrattuale (30.6.2025), e dunque in € </w:t>
      </w:r>
      <w:r w:rsidRPr="00AC0BFD">
        <w:t>2.348,71</w:t>
      </w:r>
      <w:r>
        <w:t xml:space="preserve">, come da conteggi di parte ricorrente </w:t>
      </w:r>
      <w:r w:rsidRPr="00463A33">
        <w:rPr>
          <w:i/>
          <w:iCs/>
        </w:rPr>
        <w:t>sub</w:t>
      </w:r>
      <w:r>
        <w:t xml:space="preserve"> doc. 8 coerenti con le indicazioni desumibili dalle buste paga e non contestati.</w:t>
      </w:r>
    </w:p>
    <w:p w14:paraId="627E707D" w14:textId="77777777" w:rsidR="00013777" w:rsidRDefault="00013777" w:rsidP="00013777">
      <w:pPr>
        <w:pStyle w:val="Paragrafoelenco"/>
        <w:numPr>
          <w:ilvl w:val="0"/>
          <w:numId w:val="1"/>
        </w:numPr>
        <w:spacing w:line="456" w:lineRule="auto"/>
        <w:ind w:left="567" w:hanging="567"/>
        <w:jc w:val="both"/>
      </w:pPr>
      <w:r>
        <w:t xml:space="preserve">La società convenuta va dunque condannata a corrispondere al ricorrente l’importo di € </w:t>
      </w:r>
      <w:r w:rsidRPr="002A4F79">
        <w:t>2.348,71</w:t>
      </w:r>
      <w:r>
        <w:t xml:space="preserve">, oltre alla rivalutazione secondo indici ISTAT ed interessi legali sulla somma via via rivalutata dalle singole scadenze al saldo. </w:t>
      </w:r>
    </w:p>
    <w:p w14:paraId="27AE677E" w14:textId="77777777" w:rsidR="00013777" w:rsidRDefault="00013777" w:rsidP="00013777">
      <w:pPr>
        <w:pStyle w:val="Paragrafoelenco"/>
        <w:numPr>
          <w:ilvl w:val="0"/>
          <w:numId w:val="1"/>
        </w:numPr>
        <w:spacing w:line="456" w:lineRule="auto"/>
        <w:ind w:left="567" w:hanging="567"/>
        <w:jc w:val="both"/>
      </w:pPr>
      <w:proofErr w:type="gramStart"/>
      <w:r>
        <w:t>E’</w:t>
      </w:r>
      <w:proofErr w:type="gramEnd"/>
      <w:r>
        <w:t xml:space="preserve"> infondata l’eccezione di compensazione svolta dalla società convenuta in memoria di costituzione in quanto, non potendo il ricorrente ritenersi dimissionario per quanto fin qui argomentato, alcun danno gli è addebitabile. </w:t>
      </w:r>
    </w:p>
    <w:p w14:paraId="68C51ED1" w14:textId="77777777" w:rsidR="00013777" w:rsidRDefault="00013777" w:rsidP="00013777">
      <w:pPr>
        <w:pStyle w:val="Paragrafoelenco"/>
        <w:numPr>
          <w:ilvl w:val="0"/>
          <w:numId w:val="1"/>
        </w:numPr>
        <w:spacing w:line="456" w:lineRule="auto"/>
        <w:ind w:left="567" w:hanging="567"/>
        <w:jc w:val="both"/>
      </w:pPr>
      <w:r>
        <w:t>Le spese di lite, liquidate come in dispositivo, seguono la soccombenza e sono poste a favore dei procuratori del ricorrente che si sono dichiarati antistatari.</w:t>
      </w:r>
    </w:p>
    <w:p w14:paraId="6D3C3428" w14:textId="77777777" w:rsidR="00013777" w:rsidRDefault="00013777" w:rsidP="00013777">
      <w:pPr>
        <w:pStyle w:val="Corpotesto"/>
        <w:jc w:val="center"/>
        <w:rPr>
          <w:b/>
          <w:bCs/>
        </w:rPr>
      </w:pPr>
      <w:r>
        <w:rPr>
          <w:b/>
          <w:bCs/>
        </w:rPr>
        <w:t>P.Q.M.</w:t>
      </w:r>
    </w:p>
    <w:p w14:paraId="39A9C284" w14:textId="77777777" w:rsidR="00013777" w:rsidRDefault="00013777" w:rsidP="00013777">
      <w:pPr>
        <w:pStyle w:val="Corpotesto"/>
        <w:rPr>
          <w:b/>
          <w:bCs/>
        </w:rPr>
      </w:pPr>
      <w:r>
        <w:t xml:space="preserve">Il Giudice del Lavoro, ogni contraria istanza disattesa, condanna la società convenuta a corrispondere al ricorrente l’importo di € </w:t>
      </w:r>
      <w:r w:rsidRPr="0033797D">
        <w:t>2.348,71</w:t>
      </w:r>
      <w:r>
        <w:t>, oltre interessi legali e rivalutazione monetaria dalle singole scadenze al saldo.</w:t>
      </w:r>
    </w:p>
    <w:p w14:paraId="40980FA7" w14:textId="77777777" w:rsidR="00013777" w:rsidRDefault="00013777" w:rsidP="00013777">
      <w:pPr>
        <w:pStyle w:val="Corpotesto"/>
      </w:pPr>
      <w:r>
        <w:t xml:space="preserve">Condanna altresì parte resistente a rifondere ai procuratori del ricorrente – che si sono dichiarati antistatari - le spese di lite, che liquida in complessivi € 1.300,00, </w:t>
      </w:r>
      <w:r w:rsidRPr="009E32F4">
        <w:t>da maggiorarsi del 30% ex art. 4, co. 1 bis, DM 55/14, oltre ad IVA e CPA e</w:t>
      </w:r>
      <w:r>
        <w:t xml:space="preserve">d al rimborso forfetario di cui alla legge professionale. </w:t>
      </w:r>
    </w:p>
    <w:p w14:paraId="249D615F" w14:textId="77777777" w:rsidR="00013777" w:rsidRDefault="00013777" w:rsidP="00013777">
      <w:pPr>
        <w:spacing w:line="456" w:lineRule="auto"/>
        <w:jc w:val="both"/>
      </w:pPr>
      <w:r>
        <w:t>Venezia, 15/04/2026.</w:t>
      </w:r>
    </w:p>
    <w:p w14:paraId="44AD3BF9" w14:textId="77777777" w:rsidR="00013777" w:rsidRDefault="00013777" w:rsidP="00013777">
      <w:pPr>
        <w:spacing w:line="456" w:lineRule="auto"/>
        <w:ind w:left="360"/>
        <w:jc w:val="right"/>
      </w:pPr>
      <w:r>
        <w:t>Il Giudice del Lavoro</w:t>
      </w:r>
    </w:p>
    <w:p w14:paraId="44E29DB8" w14:textId="77777777" w:rsidR="00013777" w:rsidRDefault="00013777" w:rsidP="00013777">
      <w:pPr>
        <w:pStyle w:val="Corpotesto"/>
        <w:jc w:val="right"/>
      </w:pPr>
      <w:r>
        <w:t>dott. Anna Menegazzo</w:t>
      </w:r>
    </w:p>
    <w:p w14:paraId="44C962A7" w14:textId="77777777" w:rsidR="00013777" w:rsidRDefault="00013777" w:rsidP="00013777">
      <w:pPr>
        <w:spacing w:line="456" w:lineRule="auto"/>
      </w:pPr>
    </w:p>
    <w:p w14:paraId="7CDA6D17" w14:textId="77777777" w:rsidR="00013777" w:rsidRDefault="00013777" w:rsidP="00013777"/>
    <w:p w14:paraId="6298160C" w14:textId="77777777" w:rsidR="00013777" w:rsidRDefault="00013777" w:rsidP="00013777"/>
    <w:p w14:paraId="7F92AC96" w14:textId="77777777" w:rsidR="00013777" w:rsidRDefault="00013777" w:rsidP="00013777"/>
    <w:p w14:paraId="38F3FBB7" w14:textId="77777777" w:rsidR="00013777" w:rsidRDefault="00013777" w:rsidP="00013777"/>
    <w:p w14:paraId="030C73D3" w14:textId="77777777" w:rsidR="00013777" w:rsidRDefault="00013777" w:rsidP="00013777"/>
    <w:p w14:paraId="0FC41F0D" w14:textId="77777777" w:rsidR="00013777" w:rsidRDefault="00013777" w:rsidP="00013777"/>
    <w:p w14:paraId="71E7EE71" w14:textId="77777777" w:rsidR="00013777" w:rsidRDefault="00013777" w:rsidP="00013777"/>
    <w:p w14:paraId="69B36926" w14:textId="77777777" w:rsidR="00013777" w:rsidRDefault="00013777" w:rsidP="00013777"/>
    <w:p w14:paraId="22D5B9A3" w14:textId="77777777" w:rsidR="00013777" w:rsidRDefault="00013777" w:rsidP="00013777"/>
    <w:p w14:paraId="7C3F6C17" w14:textId="77777777" w:rsidR="00013777" w:rsidRPr="008B7119" w:rsidRDefault="00013777" w:rsidP="00013777"/>
    <w:p w14:paraId="2822B24E" w14:textId="77777777" w:rsidR="00013777" w:rsidRDefault="00013777" w:rsidP="00013777"/>
    <w:p w14:paraId="561F2F3B" w14:textId="77777777" w:rsidR="00013777" w:rsidRDefault="00013777" w:rsidP="00013777"/>
    <w:p w14:paraId="5415FC19" w14:textId="77777777" w:rsidR="005D588C" w:rsidRDefault="005D588C"/>
    <w:sectPr w:rsidR="005D588C" w:rsidSect="00013777">
      <w:footerReference w:type="even" r:id="rId8"/>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C629" w14:textId="77777777" w:rsidR="00A5668E" w:rsidRDefault="00A5668E">
      <w:r>
        <w:separator/>
      </w:r>
    </w:p>
  </w:endnote>
  <w:endnote w:type="continuationSeparator" w:id="0">
    <w:p w14:paraId="28922B2D" w14:textId="77777777" w:rsidR="00A5668E" w:rsidRDefault="00A5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0ED7" w14:textId="77777777" w:rsidR="00013777" w:rsidRDefault="0001377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2B4B2673" w14:textId="77777777" w:rsidR="00013777" w:rsidRDefault="0001377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4E12" w14:textId="77777777" w:rsidR="00013777" w:rsidRDefault="0001377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6859CF58" w14:textId="77777777" w:rsidR="00013777" w:rsidRDefault="0001377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8C07D" w14:textId="77777777" w:rsidR="00A5668E" w:rsidRDefault="00A5668E">
      <w:r>
        <w:separator/>
      </w:r>
    </w:p>
  </w:footnote>
  <w:footnote w:type="continuationSeparator" w:id="0">
    <w:p w14:paraId="31E29CC0" w14:textId="77777777" w:rsidR="00A5668E" w:rsidRDefault="00A56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C81B6B"/>
    <w:multiLevelType w:val="hybridMultilevel"/>
    <w:tmpl w:val="568466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0892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63"/>
    <w:rsid w:val="00013777"/>
    <w:rsid w:val="000D36AB"/>
    <w:rsid w:val="005D588C"/>
    <w:rsid w:val="00742E63"/>
    <w:rsid w:val="00A5668E"/>
    <w:rsid w:val="00B4042F"/>
    <w:rsid w:val="00C218C4"/>
    <w:rsid w:val="00D52DA3"/>
    <w:rsid w:val="00FC37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C09BDDA"/>
  <w15:chartTrackingRefBased/>
  <w15:docId w15:val="{2407A0F7-74B9-46A5-A34B-A6E00D77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377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qFormat/>
    <w:rsid w:val="00742E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42E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42E6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42E6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42E6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42E6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2E6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2E6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2E6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42E6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2E6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2E6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2E6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2E6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2E6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2E6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2E6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2E63"/>
    <w:rPr>
      <w:rFonts w:eastAsiaTheme="majorEastAsia" w:cstheme="majorBidi"/>
      <w:color w:val="272727" w:themeColor="text1" w:themeTint="D8"/>
    </w:rPr>
  </w:style>
  <w:style w:type="paragraph" w:styleId="Titolo">
    <w:name w:val="Title"/>
    <w:basedOn w:val="Normale"/>
    <w:next w:val="Normale"/>
    <w:link w:val="TitoloCarattere"/>
    <w:qFormat/>
    <w:rsid w:val="00742E6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42E6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2E6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2E6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2E6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2E63"/>
    <w:rPr>
      <w:i/>
      <w:iCs/>
      <w:color w:val="404040" w:themeColor="text1" w:themeTint="BF"/>
    </w:rPr>
  </w:style>
  <w:style w:type="paragraph" w:styleId="Paragrafoelenco">
    <w:name w:val="List Paragraph"/>
    <w:basedOn w:val="Normale"/>
    <w:uiPriority w:val="34"/>
    <w:qFormat/>
    <w:rsid w:val="00742E63"/>
    <w:pPr>
      <w:ind w:left="720"/>
      <w:contextualSpacing/>
    </w:pPr>
  </w:style>
  <w:style w:type="character" w:styleId="Enfasiintensa">
    <w:name w:val="Intense Emphasis"/>
    <w:basedOn w:val="Carpredefinitoparagrafo"/>
    <w:uiPriority w:val="21"/>
    <w:qFormat/>
    <w:rsid w:val="00742E63"/>
    <w:rPr>
      <w:i/>
      <w:iCs/>
      <w:color w:val="0F4761" w:themeColor="accent1" w:themeShade="BF"/>
    </w:rPr>
  </w:style>
  <w:style w:type="paragraph" w:styleId="Citazioneintensa">
    <w:name w:val="Intense Quote"/>
    <w:basedOn w:val="Normale"/>
    <w:next w:val="Normale"/>
    <w:link w:val="CitazioneintensaCarattere"/>
    <w:uiPriority w:val="30"/>
    <w:qFormat/>
    <w:rsid w:val="00742E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42E63"/>
    <w:rPr>
      <w:i/>
      <w:iCs/>
      <w:color w:val="0F4761" w:themeColor="accent1" w:themeShade="BF"/>
    </w:rPr>
  </w:style>
  <w:style w:type="character" w:styleId="Riferimentointenso">
    <w:name w:val="Intense Reference"/>
    <w:basedOn w:val="Carpredefinitoparagrafo"/>
    <w:uiPriority w:val="32"/>
    <w:qFormat/>
    <w:rsid w:val="00742E63"/>
    <w:rPr>
      <w:b/>
      <w:bCs/>
      <w:smallCaps/>
      <w:color w:val="0F4761" w:themeColor="accent1" w:themeShade="BF"/>
      <w:spacing w:val="5"/>
    </w:rPr>
  </w:style>
  <w:style w:type="paragraph" w:styleId="Corpotesto">
    <w:name w:val="Body Text"/>
    <w:basedOn w:val="Normale"/>
    <w:link w:val="CorpotestoCarattere"/>
    <w:rsid w:val="00013777"/>
    <w:pPr>
      <w:spacing w:line="456" w:lineRule="auto"/>
      <w:jc w:val="both"/>
    </w:pPr>
  </w:style>
  <w:style w:type="character" w:customStyle="1" w:styleId="CorpotestoCarattere">
    <w:name w:val="Corpo testo Carattere"/>
    <w:basedOn w:val="Carpredefinitoparagrafo"/>
    <w:link w:val="Corpotesto"/>
    <w:rsid w:val="00013777"/>
    <w:rPr>
      <w:rFonts w:ascii="Times New Roman" w:eastAsia="Times New Roman" w:hAnsi="Times New Roman" w:cs="Times New Roman"/>
      <w:kern w:val="0"/>
      <w:sz w:val="24"/>
      <w:szCs w:val="24"/>
      <w:lang w:eastAsia="it-IT"/>
      <w14:ligatures w14:val="none"/>
    </w:rPr>
  </w:style>
  <w:style w:type="paragraph" w:styleId="Corpodeltesto2">
    <w:name w:val="Body Text 2"/>
    <w:basedOn w:val="Normale"/>
    <w:link w:val="Corpodeltesto2Carattere"/>
    <w:rsid w:val="00013777"/>
    <w:pPr>
      <w:spacing w:after="120" w:line="480" w:lineRule="auto"/>
    </w:pPr>
  </w:style>
  <w:style w:type="character" w:customStyle="1" w:styleId="Corpodeltesto2Carattere">
    <w:name w:val="Corpo del testo 2 Carattere"/>
    <w:basedOn w:val="Carpredefinitoparagrafo"/>
    <w:link w:val="Corpodeltesto2"/>
    <w:rsid w:val="00013777"/>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rsid w:val="00013777"/>
    <w:pPr>
      <w:tabs>
        <w:tab w:val="center" w:pos="4819"/>
        <w:tab w:val="right" w:pos="9638"/>
      </w:tabs>
    </w:pPr>
  </w:style>
  <w:style w:type="character" w:customStyle="1" w:styleId="PidipaginaCarattere">
    <w:name w:val="Piè di pagina Carattere"/>
    <w:basedOn w:val="Carpredefinitoparagrafo"/>
    <w:link w:val="Pidipagina"/>
    <w:rsid w:val="00013777"/>
    <w:rPr>
      <w:rFonts w:ascii="Times New Roman" w:eastAsia="Times New Roman" w:hAnsi="Times New Roman" w:cs="Times New Roman"/>
      <w:kern w:val="0"/>
      <w:sz w:val="24"/>
      <w:szCs w:val="24"/>
      <w:lang w:eastAsia="it-IT"/>
      <w14:ligatures w14:val="none"/>
    </w:rPr>
  </w:style>
  <w:style w:type="character" w:styleId="Numeropagina">
    <w:name w:val="page number"/>
    <w:basedOn w:val="Carpredefinitoparagrafo"/>
    <w:rsid w:val="00013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1640</Words>
  <Characters>9534</Characters>
  <Application>Microsoft Office Word</Application>
  <DocSecurity>0</DocSecurity>
  <Lines>170</Lines>
  <Paragraphs>59</Paragraphs>
  <ScaleCrop>false</ScaleCrop>
  <Company>Ministero della Giustizia</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Menegazzo</dc:creator>
  <cp:keywords/>
  <dc:description/>
  <cp:lastModifiedBy>Piero Martello</cp:lastModifiedBy>
  <cp:revision>4</cp:revision>
  <dcterms:created xsi:type="dcterms:W3CDTF">2026-04-15T16:46:00Z</dcterms:created>
  <dcterms:modified xsi:type="dcterms:W3CDTF">2026-05-27T10:38:00Z</dcterms:modified>
</cp:coreProperties>
</file>