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4A29" w14:textId="77777777" w:rsidR="00DC71A7" w:rsidRDefault="00DC71A7" w:rsidP="00DC71A7">
      <w:pPr>
        <w:jc w:val="center"/>
      </w:pPr>
      <w:r>
        <w:fldChar w:fldCharType="begin"/>
      </w:r>
      <w:r>
        <w:instrText>HYPERLINK "</w:instrText>
      </w:r>
      <w:r w:rsidRPr="00E210CB">
        <w:instrText>https://hudoc.echr.coe.int</w:instrText>
      </w:r>
      <w:r>
        <w:instrText>"</w:instrText>
      </w:r>
      <w:r>
        <w:fldChar w:fldCharType="separate"/>
      </w:r>
      <w:r w:rsidRPr="001C19D4">
        <w:rPr>
          <w:rStyle w:val="Collegamentoipertestuale"/>
        </w:rPr>
        <w:t>https://hudoc.echr.coe.int</w:t>
      </w:r>
      <w:r>
        <w:fldChar w:fldCharType="end"/>
      </w:r>
      <w:r>
        <w:t xml:space="preserve"> </w:t>
      </w:r>
    </w:p>
    <w:p w14:paraId="32CDCED4" w14:textId="77777777" w:rsidR="00DC71A7" w:rsidRPr="00147FC8" w:rsidRDefault="00DC71A7" w:rsidP="00DC71A7">
      <w:pPr>
        <w:jc w:val="center"/>
      </w:pPr>
      <w:r w:rsidRPr="00147FC8">
        <w:t>CORTE EUROPEA DEI DIRITTI DELL’UOMO</w:t>
      </w:r>
    </w:p>
    <w:p w14:paraId="7EBF6001" w14:textId="133E09B3" w:rsidR="006E7CFC" w:rsidRPr="006E7CFC" w:rsidRDefault="006E7CFC" w:rsidP="006E7CFC">
      <w:pPr>
        <w:spacing w:after="0"/>
        <w:jc w:val="center"/>
      </w:pPr>
      <w:r w:rsidRPr="006E7CFC">
        <w:t>SECONDA SEZIONE</w:t>
      </w:r>
    </w:p>
    <w:p w14:paraId="1B4427F3" w14:textId="77777777" w:rsidR="006E7CFC" w:rsidRPr="006E7CFC" w:rsidRDefault="006E7CFC" w:rsidP="006E7CFC">
      <w:pPr>
        <w:spacing w:after="0"/>
        <w:jc w:val="center"/>
      </w:pPr>
      <w:r w:rsidRPr="006E7CFC">
        <w:rPr>
          <w:b/>
          <w:bCs/>
        </w:rPr>
        <w:t>CASO DI SILIADIN CONTRO FRANCIA</w:t>
      </w:r>
    </w:p>
    <w:p w14:paraId="19D637B1" w14:textId="77777777" w:rsidR="006E7CFC" w:rsidRPr="006E7CFC" w:rsidRDefault="006E7CFC" w:rsidP="006E7CFC">
      <w:pPr>
        <w:spacing w:after="0"/>
        <w:jc w:val="center"/>
      </w:pPr>
      <w:r w:rsidRPr="006E7CFC">
        <w:rPr>
          <w:i/>
          <w:iCs/>
        </w:rPr>
        <w:t>(Richiesta n. </w:t>
      </w:r>
      <w:hyperlink r:id="rId6" w:anchor="{%22appno%22:[%2273316/01%22]}" w:tgtFrame="_blank" w:history="1">
        <w:r w:rsidRPr="006E7CFC">
          <w:rPr>
            <w:rStyle w:val="Collegamentoipertestuale"/>
            <w:i/>
            <w:iCs/>
          </w:rPr>
          <w:t>73316/01</w:t>
        </w:r>
      </w:hyperlink>
      <w:r w:rsidRPr="006E7CFC">
        <w:rPr>
          <w:i/>
          <w:iCs/>
        </w:rPr>
        <w:t> )</w:t>
      </w:r>
    </w:p>
    <w:p w14:paraId="58EB5684" w14:textId="77777777" w:rsidR="006E7CFC" w:rsidRPr="006E7CFC" w:rsidRDefault="006E7CFC" w:rsidP="006E7CFC">
      <w:pPr>
        <w:spacing w:after="0"/>
        <w:jc w:val="center"/>
      </w:pPr>
      <w:r w:rsidRPr="006E7CFC">
        <w:t>SENTENZA</w:t>
      </w:r>
    </w:p>
    <w:p w14:paraId="3DD01326" w14:textId="77777777" w:rsidR="006E7CFC" w:rsidRPr="006E7CFC" w:rsidRDefault="006E7CFC" w:rsidP="006E7CFC">
      <w:pPr>
        <w:spacing w:after="0"/>
        <w:jc w:val="center"/>
      </w:pPr>
      <w:r w:rsidRPr="006E7CFC">
        <w:t>STRASBURGO</w:t>
      </w:r>
    </w:p>
    <w:p w14:paraId="0562B02F" w14:textId="77777777" w:rsidR="006E7CFC" w:rsidRPr="006E7CFC" w:rsidRDefault="006E7CFC" w:rsidP="006E7CFC">
      <w:pPr>
        <w:spacing w:after="0"/>
        <w:jc w:val="center"/>
      </w:pPr>
      <w:r w:rsidRPr="006E7CFC">
        <w:t>26 luglio 2005</w:t>
      </w:r>
    </w:p>
    <w:p w14:paraId="33C33DD5" w14:textId="77777777" w:rsidR="006E7CFC" w:rsidRPr="006E7CFC" w:rsidRDefault="006E7CFC" w:rsidP="006E7CFC">
      <w:pPr>
        <w:spacing w:after="0"/>
        <w:jc w:val="center"/>
      </w:pPr>
      <w:r w:rsidRPr="006E7CFC">
        <w:rPr>
          <w:b/>
          <w:bCs/>
          <w:u w:val="single"/>
        </w:rPr>
        <w:t>FINALE</w:t>
      </w:r>
    </w:p>
    <w:p w14:paraId="6683DEB6" w14:textId="77777777" w:rsidR="006E7CFC" w:rsidRPr="006E7CFC" w:rsidRDefault="006E7CFC" w:rsidP="00DC71A7">
      <w:pPr>
        <w:jc w:val="center"/>
      </w:pPr>
      <w:r w:rsidRPr="006E7CFC">
        <w:rPr>
          <w:i/>
          <w:iCs/>
        </w:rPr>
        <w:t>26/10/2005</w:t>
      </w:r>
    </w:p>
    <w:p w14:paraId="43EBC8AD" w14:textId="77777777" w:rsidR="006E7CFC" w:rsidRPr="006E7CFC" w:rsidRDefault="006E7CFC" w:rsidP="006E7CFC">
      <w:pPr>
        <w:jc w:val="both"/>
      </w:pPr>
      <w:r w:rsidRPr="006E7CFC">
        <w:rPr>
          <w:b/>
          <w:bCs/>
        </w:rPr>
        <w:t xml:space="preserve">Nel caso </w:t>
      </w:r>
      <w:proofErr w:type="spellStart"/>
      <w:r w:rsidRPr="006E7CFC">
        <w:rPr>
          <w:b/>
          <w:bCs/>
        </w:rPr>
        <w:t>Siliadin</w:t>
      </w:r>
      <w:proofErr w:type="spellEnd"/>
      <w:r w:rsidRPr="006E7CFC">
        <w:rPr>
          <w:b/>
          <w:bCs/>
        </w:rPr>
        <w:t xml:space="preserve"> contro Francia,</w:t>
      </w:r>
    </w:p>
    <w:p w14:paraId="477E6C10" w14:textId="77777777" w:rsidR="006E7CFC" w:rsidRPr="006E7CFC" w:rsidRDefault="006E7CFC" w:rsidP="006E7CFC">
      <w:pPr>
        <w:jc w:val="both"/>
      </w:pPr>
      <w:r w:rsidRPr="006E7CFC">
        <w:t>La Corte europea dei diritti dell'uomo (Seconda Sezione), riunita in una Camera composta da:</w:t>
      </w:r>
    </w:p>
    <w:p w14:paraId="58048C22" w14:textId="77777777" w:rsidR="006E7CFC" w:rsidRPr="006E7CFC" w:rsidRDefault="006E7CFC" w:rsidP="00DC71A7">
      <w:r w:rsidRPr="006E7CFC">
        <w:t> </w:t>
      </w:r>
      <w:proofErr w:type="spellStart"/>
      <w:r w:rsidRPr="006E7CFC">
        <w:t>Sig</w:t>
      </w:r>
      <w:proofErr w:type="spellEnd"/>
      <w:r w:rsidRPr="006E7CFC">
        <w:t> I. Cabral Barreto, </w:t>
      </w:r>
      <w:r w:rsidRPr="006E7CFC">
        <w:rPr>
          <w:i/>
          <w:iCs/>
        </w:rPr>
        <w:t>Presidente </w:t>
      </w:r>
      <w:r w:rsidRPr="006E7CFC">
        <w:t>,</w:t>
      </w:r>
      <w:r w:rsidRPr="006E7CFC">
        <w:br/>
        <w:t> </w:t>
      </w:r>
      <w:proofErr w:type="spellStart"/>
      <w:r w:rsidRPr="006E7CFC">
        <w:t>Sig</w:t>
      </w:r>
      <w:proofErr w:type="spellEnd"/>
      <w:r w:rsidRPr="006E7CFC">
        <w:t> J.-P. Costa,</w:t>
      </w:r>
    </w:p>
    <w:p w14:paraId="4180EAE3" w14:textId="77777777" w:rsidR="006E7CFC" w:rsidRPr="006E7CFC" w:rsidRDefault="006E7CFC" w:rsidP="006E7CFC">
      <w:pPr>
        <w:jc w:val="both"/>
      </w:pPr>
      <w:r w:rsidRPr="006E7CFC">
        <w:t> </w:t>
      </w:r>
      <w:proofErr w:type="spellStart"/>
      <w:r w:rsidRPr="006E7CFC">
        <w:t>Sig</w:t>
      </w:r>
      <w:proofErr w:type="spellEnd"/>
      <w:r w:rsidRPr="006E7CFC">
        <w:t> R. </w:t>
      </w:r>
      <w:proofErr w:type="spellStart"/>
      <w:r w:rsidRPr="006E7CFC">
        <w:t>Türmen</w:t>
      </w:r>
      <w:proofErr w:type="spellEnd"/>
      <w:r w:rsidRPr="006E7CFC">
        <w:t> ,</w:t>
      </w:r>
      <w:r w:rsidRPr="006E7CFC">
        <w:br/>
        <w:t> </w:t>
      </w:r>
      <w:proofErr w:type="spellStart"/>
      <w:r w:rsidRPr="006E7CFC">
        <w:t>Sig</w:t>
      </w:r>
      <w:proofErr w:type="spellEnd"/>
      <w:r w:rsidRPr="006E7CFC">
        <w:t> K. </w:t>
      </w:r>
      <w:proofErr w:type="spellStart"/>
      <w:r w:rsidRPr="006E7CFC">
        <w:t>Jungwiert</w:t>
      </w:r>
      <w:proofErr w:type="spellEnd"/>
      <w:r w:rsidRPr="006E7CFC">
        <w:t> ,</w:t>
      </w:r>
      <w:r w:rsidRPr="006E7CFC">
        <w:br/>
        <w:t> </w:t>
      </w:r>
      <w:proofErr w:type="spellStart"/>
      <w:r w:rsidRPr="006E7CFC">
        <w:t>Sig</w:t>
      </w:r>
      <w:proofErr w:type="spellEnd"/>
      <w:r w:rsidRPr="006E7CFC">
        <w:t> V. </w:t>
      </w:r>
      <w:proofErr w:type="spellStart"/>
      <w:r w:rsidRPr="006E7CFC">
        <w:t>Butkevych</w:t>
      </w:r>
      <w:proofErr w:type="spellEnd"/>
      <w:r w:rsidRPr="006E7CFC">
        <w:t> ,</w:t>
      </w:r>
      <w:r w:rsidRPr="006E7CFC">
        <w:br/>
        <w:t> Sig.ra A. Mularoni,</w:t>
      </w:r>
      <w:r w:rsidRPr="006E7CFC">
        <w:br/>
        <w:t> Sig.ra E. Fura-</w:t>
      </w:r>
      <w:proofErr w:type="spellStart"/>
      <w:r w:rsidRPr="006E7CFC">
        <w:t>Sandström</w:t>
      </w:r>
      <w:proofErr w:type="spellEnd"/>
      <w:r w:rsidRPr="006E7CFC">
        <w:t>, </w:t>
      </w:r>
      <w:r w:rsidRPr="006E7CFC">
        <w:rPr>
          <w:i/>
          <w:iCs/>
        </w:rPr>
        <w:t>giudici </w:t>
      </w:r>
      <w:r w:rsidRPr="006E7CFC">
        <w:t>, e il signor S. Naismith , </w:t>
      </w:r>
      <w:r w:rsidRPr="006E7CFC">
        <w:rPr>
          <w:i/>
          <w:iCs/>
        </w:rPr>
        <w:t>vice cancelliere di sezione </w:t>
      </w:r>
      <w:r w:rsidRPr="006E7CFC">
        <w:t>,</w:t>
      </w:r>
      <w:r w:rsidRPr="006E7CFC">
        <w:br/>
      </w:r>
    </w:p>
    <w:p w14:paraId="09BFEDF2" w14:textId="77777777" w:rsidR="006E7CFC" w:rsidRPr="006E7CFC" w:rsidRDefault="006E7CFC" w:rsidP="006E7CFC">
      <w:pPr>
        <w:jc w:val="both"/>
      </w:pPr>
      <w:r w:rsidRPr="006E7CFC">
        <w:t>Dopo aver deliberato in camera di consiglio il 3 maggio e il 28 giugno 2005,</w:t>
      </w:r>
    </w:p>
    <w:p w14:paraId="23180A79" w14:textId="77777777" w:rsidR="006E7CFC" w:rsidRPr="006E7CFC" w:rsidRDefault="006E7CFC" w:rsidP="006E7CFC">
      <w:pPr>
        <w:jc w:val="both"/>
      </w:pPr>
      <w:r w:rsidRPr="006E7CFC">
        <w:t>Emette la seguente sentenza, adottata in quest'ultima data:</w:t>
      </w:r>
    </w:p>
    <w:p w14:paraId="6C568837" w14:textId="77777777" w:rsidR="006E7CFC" w:rsidRPr="006E7CFC" w:rsidRDefault="006E7CFC" w:rsidP="006E7CFC">
      <w:pPr>
        <w:jc w:val="both"/>
      </w:pPr>
      <w:r w:rsidRPr="006E7CFC">
        <w:t>PROCEDURA</w:t>
      </w:r>
    </w:p>
    <w:p w14:paraId="4EB49207" w14:textId="77777777" w:rsidR="006E7CFC" w:rsidRPr="006E7CFC" w:rsidRDefault="006E7CFC" w:rsidP="006E7CFC">
      <w:pPr>
        <w:jc w:val="both"/>
      </w:pPr>
      <w:r w:rsidRPr="006E7CFC">
        <w:t>1. Il caso trae origine da un ricorso (n. </w:t>
      </w:r>
      <w:hyperlink r:id="rId7" w:anchor="{%22appno%22:[%2273316/01%22]}" w:tgtFrame="_blank" w:history="1">
        <w:r w:rsidRPr="006E7CFC">
          <w:rPr>
            <w:rStyle w:val="Collegamentoipertestuale"/>
          </w:rPr>
          <w:t>73316/01</w:t>
        </w:r>
      </w:hyperlink>
      <w:r w:rsidRPr="006E7CFC">
        <w:t xml:space="preserve"> ) contro la Repubblica francese, depositato presso la Corte ai sensi dell'articolo 34 della Convenzione per la salvaguardia dei diritti dell'uomo e delle libertà fondamentali ("la Convenzione") da una cittadina togolese, la signora </w:t>
      </w:r>
      <w:proofErr w:type="spellStart"/>
      <w:r w:rsidRPr="006E7CFC">
        <w:t>Siwa-Akofa</w:t>
      </w:r>
      <w:proofErr w:type="spellEnd"/>
      <w:r w:rsidRPr="006E7CFC">
        <w:t xml:space="preserve"> </w:t>
      </w:r>
      <w:proofErr w:type="spellStart"/>
      <w:r w:rsidRPr="006E7CFC">
        <w:t>Siliadin</w:t>
      </w:r>
      <w:proofErr w:type="spellEnd"/>
      <w:r w:rsidRPr="006E7CFC">
        <w:t xml:space="preserve"> ("la ricorrente"), il 17 aprile 2001.  </w:t>
      </w:r>
    </w:p>
    <w:p w14:paraId="0052EDB0" w14:textId="77777777" w:rsidR="006E7CFC" w:rsidRPr="006E7CFC" w:rsidRDefault="006E7CFC" w:rsidP="006E7CFC">
      <w:pPr>
        <w:jc w:val="both"/>
      </w:pPr>
      <w:r w:rsidRPr="006E7CFC">
        <w:t>2. Il ricorrente, a cui era stato concesso il gratuito patrocinio, era rappresentato dalla Sig.ra H. Clément, del Foro di Parigi. Il Governo francese ("il Governo") era rappresentato dal suo agente, la Sig.ra E. Belliard, Direttrice degli Affari Legali presso il Ministero degli Affari Esteri.   </w:t>
      </w:r>
    </w:p>
    <w:p w14:paraId="087535EF" w14:textId="77777777" w:rsidR="006E7CFC" w:rsidRPr="006E7CFC" w:rsidRDefault="006E7CFC" w:rsidP="006E7CFC">
      <w:pPr>
        <w:jc w:val="both"/>
      </w:pPr>
      <w:r w:rsidRPr="006E7CFC">
        <w:t>3. Basandosi sull’articolo 4 della Convenzione, la ricorrente ha sostenuto che le disposizioni penali applicabili in Francia non le garantivano una protezione sufficiente ed efficace contro la “servitù” in cui era stata tenuta, o quantomeno contro il lavoro “forzato o obbligatorio” che era stata costretta a svolgere.  </w:t>
      </w:r>
    </w:p>
    <w:p w14:paraId="13A2BFC2" w14:textId="77777777" w:rsidR="006E7CFC" w:rsidRPr="006E7CFC" w:rsidRDefault="006E7CFC" w:rsidP="006E7CFC">
      <w:pPr>
        <w:jc w:val="both"/>
      </w:pPr>
      <w:r w:rsidRPr="006E7CFC">
        <w:lastRenderedPageBreak/>
        <w:t>4. Il ricorso è stato assegnato alla Seconda Sezione della Corte (articolo 52 § 1 del Regolamento della Corte). All'interno di tale Sezione, la Camera incaricata di esaminare il caso (articolo 27 § 1 della Convenzione) è stata costituita come previsto dall'articolo 26 § 1 del Regolamento.   </w:t>
      </w:r>
    </w:p>
    <w:p w14:paraId="65A34497" w14:textId="77777777" w:rsidR="006E7CFC" w:rsidRPr="006E7CFC" w:rsidRDefault="006E7CFC" w:rsidP="006E7CFC">
      <w:pPr>
        <w:jc w:val="both"/>
      </w:pPr>
      <w:r w:rsidRPr="006E7CFC">
        <w:t>5. Il 1° novembre 2004 la Corte ha modificato la composizione delle sue Sezioni (articolo 25 § 1 del Regolamento). Il presente caso è stato assegnato alla Seconda Sezione di nuova costituzione (articolo 52 § 1 del Regolamento).  </w:t>
      </w:r>
    </w:p>
    <w:p w14:paraId="438B3E9E" w14:textId="77777777" w:rsidR="006E7CFC" w:rsidRPr="006E7CFC" w:rsidRDefault="006E7CFC" w:rsidP="006E7CFC">
      <w:pPr>
        <w:jc w:val="both"/>
      </w:pPr>
      <w:r w:rsidRPr="006E7CFC">
        <w:t>6. Con decisione del 1° febbraio 2005, la Camera ha dichiarato il ricorso ricevibile.  </w:t>
      </w:r>
    </w:p>
    <w:p w14:paraId="4FEE08D1" w14:textId="77777777" w:rsidR="006E7CFC" w:rsidRPr="006E7CFC" w:rsidRDefault="006E7CFC" w:rsidP="006E7CFC">
      <w:pPr>
        <w:jc w:val="both"/>
      </w:pPr>
      <w:r w:rsidRPr="006E7CFC">
        <w:t>7. Il ricorrente e il Governo hanno depositato osservazioni nel merito (articolo 59 § 1 del regolamento).  </w:t>
      </w:r>
    </w:p>
    <w:p w14:paraId="79D51676" w14:textId="77777777" w:rsidR="006E7CFC" w:rsidRPr="006E7CFC" w:rsidRDefault="006E7CFC" w:rsidP="006E7CFC">
      <w:pPr>
        <w:jc w:val="both"/>
      </w:pPr>
      <w:r w:rsidRPr="006E7CFC">
        <w:t>8. Il 3 maggio 2005 si è tenuta un'udienza pubblica presso il Palazzo dei diritti dell'uomo a Strasburgo (articolo 59 § 3 del Regolamento).  </w:t>
      </w:r>
    </w:p>
    <w:p w14:paraId="62DBA9FA" w14:textId="77777777" w:rsidR="006E7CFC" w:rsidRPr="006E7CFC" w:rsidRDefault="006E7CFC" w:rsidP="006E7CFC">
      <w:pPr>
        <w:jc w:val="both"/>
      </w:pPr>
      <w:r w:rsidRPr="006E7CFC">
        <w:t>Sono comparsi davanti alla Corte:</w:t>
      </w:r>
    </w:p>
    <w:p w14:paraId="2014C58C" w14:textId="77777777" w:rsidR="006E7CFC" w:rsidRPr="006E7CFC" w:rsidRDefault="006E7CFC" w:rsidP="006E7CFC">
      <w:pPr>
        <w:jc w:val="both"/>
      </w:pPr>
      <w:r w:rsidRPr="006E7CFC">
        <w:t> </w:t>
      </w:r>
    </w:p>
    <w:p w14:paraId="57EB4AA6" w14:textId="77777777" w:rsidR="006E7CFC" w:rsidRPr="006E7CFC" w:rsidRDefault="006E7CFC" w:rsidP="006E7CFC">
      <w:r w:rsidRPr="006E7CFC">
        <w:t>(a) </w:t>
      </w:r>
      <w:r w:rsidRPr="006E7CFC">
        <w:rPr>
          <w:i/>
          <w:iCs/>
        </w:rPr>
        <w:t>per il Governo </w:t>
      </w:r>
      <w:r w:rsidRPr="006E7CFC">
        <w:t>Sig.ra  </w:t>
      </w:r>
      <w:r w:rsidRPr="006E7CFC">
        <w:br/>
        <w:t> E. Belliard , Direttore degli Affari Legali, Ministero degli Affari Esteri,</w:t>
      </w:r>
      <w:r w:rsidRPr="006E7CFC">
        <w:br/>
        <w:t>      </w:t>
      </w:r>
      <w:r w:rsidRPr="006E7CFC">
        <w:rPr>
          <w:i/>
          <w:iCs/>
        </w:rPr>
        <w:t>Agente </w:t>
      </w:r>
      <w:r w:rsidRPr="006E7CFC">
        <w:t>,</w:t>
      </w:r>
      <w:r w:rsidRPr="006E7CFC">
        <w:br/>
        <w:t xml:space="preserve">signor G. </w:t>
      </w:r>
      <w:proofErr w:type="spellStart"/>
      <w:r w:rsidRPr="006E7CFC">
        <w:t>Dutertre</w:t>
      </w:r>
      <w:proofErr w:type="spellEnd"/>
      <w:r w:rsidRPr="006E7CFC">
        <w:t> , </w:t>
      </w:r>
      <w:r w:rsidRPr="006E7CFC">
        <w:rPr>
          <w:i/>
          <w:iCs/>
        </w:rPr>
        <w:t>magistrato </w:t>
      </w:r>
      <w:r w:rsidRPr="006E7CFC">
        <w:t>distaccato presso la Divisione per i diritti umani, Dipartimento degli affari legali, Ministero degli affari esteri, Sig.ra</w:t>
      </w:r>
      <w:r w:rsidRPr="006E7CFC">
        <w:br/>
        <w:t>    </w:t>
      </w:r>
      <w:r w:rsidRPr="006E7CFC">
        <w:br/>
        <w:t>    </w:t>
      </w:r>
      <w:r w:rsidRPr="006E7CFC">
        <w:br/>
        <w:t xml:space="preserve"> J. </w:t>
      </w:r>
      <w:proofErr w:type="spellStart"/>
      <w:r w:rsidRPr="006E7CFC">
        <w:t>Vailhé</w:t>
      </w:r>
      <w:proofErr w:type="spellEnd"/>
      <w:r w:rsidRPr="006E7CFC">
        <w:t> , Segretario di redazione, Dipartimento degli affari europei e internazionali, Ministero della giustizia, Sig.ra</w:t>
      </w:r>
      <w:r w:rsidRPr="006E7CFC">
        <w:br/>
        <w:t>    </w:t>
      </w:r>
      <w:r w:rsidRPr="006E7CFC">
        <w:br/>
        <w:t xml:space="preserve"> E. </w:t>
      </w:r>
      <w:proofErr w:type="spellStart"/>
      <w:r w:rsidRPr="006E7CFC">
        <w:t>Puren</w:t>
      </w:r>
      <w:proofErr w:type="spellEnd"/>
      <w:r w:rsidRPr="006E7CFC">
        <w:t> , Dipartimento degli Affari Penali e delle Grazie, Ministero della Giustizia,</w:t>
      </w:r>
      <w:r w:rsidRPr="006E7CFC">
        <w:br/>
        <w:t>      </w:t>
      </w:r>
      <w:r w:rsidRPr="006E7CFC">
        <w:rPr>
          <w:i/>
          <w:iCs/>
        </w:rPr>
        <w:t>Avvocato </w:t>
      </w:r>
      <w:r w:rsidRPr="006E7CFC">
        <w:t>;</w:t>
      </w:r>
    </w:p>
    <w:p w14:paraId="789BA462" w14:textId="77777777" w:rsidR="006E7CFC" w:rsidRPr="006E7CFC" w:rsidRDefault="006E7CFC" w:rsidP="006E7CFC">
      <w:r w:rsidRPr="006E7CFC">
        <w:t>(b) </w:t>
      </w:r>
      <w:r w:rsidRPr="006E7CFC">
        <w:rPr>
          <w:i/>
          <w:iCs/>
        </w:rPr>
        <w:t>per la ricorrente </w:t>
      </w:r>
      <w:r w:rsidRPr="006E7CFC">
        <w:t>Sig.ra  </w:t>
      </w:r>
      <w:r w:rsidRPr="006E7CFC">
        <w:br/>
        <w:t> H. Clément , del foro di Parigi, </w:t>
      </w:r>
      <w:r w:rsidRPr="006E7CFC">
        <w:rPr>
          <w:i/>
          <w:iCs/>
        </w:rPr>
        <w:t>Avvocato </w:t>
      </w:r>
      <w:r w:rsidRPr="006E7CFC">
        <w:t>,</w:t>
      </w:r>
      <w:r w:rsidRPr="006E7CFC">
        <w:br/>
        <w:t>Sig.ra B. Bourgeois , avvocato del Comitato contro la schiavitù moderna,</w:t>
      </w:r>
      <w:r w:rsidRPr="006E7CFC">
        <w:br/>
        <w:t>          </w:t>
      </w:r>
      <w:r w:rsidRPr="006E7CFC">
        <w:rPr>
          <w:i/>
          <w:iCs/>
        </w:rPr>
        <w:t>Assistente.</w:t>
      </w:r>
    </w:p>
    <w:p w14:paraId="5E3D4009" w14:textId="77777777" w:rsidR="006E7CFC" w:rsidRDefault="006E7CFC" w:rsidP="006E7CFC">
      <w:pPr>
        <w:jc w:val="both"/>
      </w:pPr>
    </w:p>
    <w:p w14:paraId="0525F6E7" w14:textId="066EA85A" w:rsidR="006E7CFC" w:rsidRPr="006E7CFC" w:rsidRDefault="006E7CFC" w:rsidP="006E7CFC">
      <w:pPr>
        <w:jc w:val="both"/>
      </w:pPr>
      <w:r w:rsidRPr="006E7CFC">
        <w:t>La Corte ha ascoltato le dichiarazioni della signora Belliard e della signora Clément.</w:t>
      </w:r>
    </w:p>
    <w:p w14:paraId="1C7DA6A1" w14:textId="77777777" w:rsidR="006E7CFC" w:rsidRPr="006E7CFC" w:rsidRDefault="006E7CFC" w:rsidP="006E7CFC">
      <w:pPr>
        <w:jc w:val="both"/>
      </w:pPr>
      <w:r w:rsidRPr="006E7CFC">
        <w:t>I FATTI</w:t>
      </w:r>
    </w:p>
    <w:p w14:paraId="1B6E367F" w14:textId="77777777" w:rsidR="006E7CFC" w:rsidRPr="006E7CFC" w:rsidRDefault="006E7CFC" w:rsidP="006E7CFC">
      <w:pPr>
        <w:jc w:val="both"/>
      </w:pPr>
      <w:r w:rsidRPr="006E7CFC">
        <w:t>I. LE CIRCOSTANZE DEL CASO  </w:t>
      </w:r>
    </w:p>
    <w:p w14:paraId="6E2D6EF7" w14:textId="77777777" w:rsidR="006E7CFC" w:rsidRPr="006E7CFC" w:rsidRDefault="006E7CFC" w:rsidP="006E7CFC">
      <w:pPr>
        <w:jc w:val="both"/>
      </w:pPr>
      <w:r w:rsidRPr="006E7CFC">
        <w:t>9. Il ricorrente è nato nel 1978 e risiede a Parigi.  </w:t>
      </w:r>
    </w:p>
    <w:p w14:paraId="6006E8D9" w14:textId="77777777" w:rsidR="006E7CFC" w:rsidRPr="006E7CFC" w:rsidRDefault="006E7CFC" w:rsidP="006E7CFC">
      <w:pPr>
        <w:jc w:val="both"/>
      </w:pPr>
      <w:r w:rsidRPr="006E7CFC">
        <w:lastRenderedPageBreak/>
        <w:t>10. Arrivò in Francia il 26 gennaio 1994, all'età di 15 anni e 7 mesi, insieme alla signora D., cittadina francese di origine togolese. Era munita di passaporto e di visto turistico.  </w:t>
      </w:r>
    </w:p>
    <w:p w14:paraId="041FB510" w14:textId="77777777" w:rsidR="006E7CFC" w:rsidRPr="006E7CFC" w:rsidRDefault="006E7CFC" w:rsidP="006E7CFC">
      <w:pPr>
        <w:jc w:val="both"/>
      </w:pPr>
      <w:r w:rsidRPr="006E7CFC">
        <w:t>11. Era stato concordato che avrebbe lavorato presso l'abitazione della signora D. fino al rimborso del biglietto aereo e che la signora D. si sarebbe occupata del suo status di immigrazione e le avrebbe trovato un posto a scuola. In realtà, la ricorrente è diventata una domestica non retribuita per il signor e la signora D. e le è stato ritirato il passaporto.  </w:t>
      </w:r>
    </w:p>
    <w:p w14:paraId="4F71CD53" w14:textId="77777777" w:rsidR="006E7CFC" w:rsidRPr="006E7CFC" w:rsidRDefault="006E7CFC" w:rsidP="006E7CFC">
      <w:pPr>
        <w:jc w:val="both"/>
      </w:pPr>
      <w:r w:rsidRPr="006E7CFC">
        <w:t>12. Nella seconda metà del 1994, la signora D. “prestò” la ricorrente ai coniugi B., che avevano due bambini piccoli, affinché potesse assistere la signora B., incinta, nei lavori domestici. La signora B. aveva anche un'altra figlia, nata da un primo matrimonio, che stava con lei durante le vacanze e nei fine settimana. La ricorrente viveva presso l'abitazione dei coniugi B., con il consenso del padre.  </w:t>
      </w:r>
    </w:p>
    <w:p w14:paraId="5BDED0ED" w14:textId="77777777" w:rsidR="006E7CFC" w:rsidRPr="006E7CFC" w:rsidRDefault="006E7CFC" w:rsidP="006E7CFC">
      <w:pPr>
        <w:jc w:val="both"/>
      </w:pPr>
      <w:r w:rsidRPr="006E7CFC">
        <w:t>13. Al suo ritorno dall'ospedale di maternità, la signora B. comunicò alla ricorrente di aver deciso di trattenerla.  </w:t>
      </w:r>
    </w:p>
    <w:p w14:paraId="0E0203E5" w14:textId="77777777" w:rsidR="006E7CFC" w:rsidRPr="006E7CFC" w:rsidRDefault="006E7CFC" w:rsidP="006E7CFC">
      <w:pPr>
        <w:jc w:val="both"/>
      </w:pPr>
      <w:r w:rsidRPr="006E7CFC">
        <w:t>14. Successivamente, la ricorrente divenne domestica generica per il signor e la signora B. Lavorava sette giorni su sette, senza giorno di riposo, ed era occasionalmente ed eccezionalmente autorizzata a uscire la domenica per assistere alla messa. La sua giornata lavorativa iniziava alle 7.30 del mattino, quando doveva alzarsi e preparare la colazione, vestire i bambini, accompagnarli all'asilo nido o alle attività ricreative, accudire il neonato, fare i lavori domestici e lavare e stirare i vestiti.  </w:t>
      </w:r>
    </w:p>
    <w:p w14:paraId="7E5C1BF7" w14:textId="77777777" w:rsidR="006E7CFC" w:rsidRPr="006E7CFC" w:rsidRDefault="006E7CFC" w:rsidP="006E7CFC">
      <w:pPr>
        <w:jc w:val="both"/>
      </w:pPr>
      <w:r w:rsidRPr="006E7CFC">
        <w:t>La sera preparava la cena, si occupava dei bambini più grandi, lavava i piatti e andava a letto verso le 22.30. Inoltre, doveva pulire un monolocale, nello stesso edificio, che il signor B. aveva trasformato in ufficio.</w:t>
      </w:r>
    </w:p>
    <w:p w14:paraId="2EA9C047" w14:textId="77777777" w:rsidR="006E7CFC" w:rsidRPr="006E7CFC" w:rsidRDefault="006E7CFC" w:rsidP="006E7CFC">
      <w:pPr>
        <w:jc w:val="both"/>
      </w:pPr>
      <w:r w:rsidRPr="006E7CFC">
        <w:t>La ricorrente dormiva su un materasso sul pavimento della stanza del bambino; ​​doveva prendersi cura di lui se si fosse svegliato.</w:t>
      </w:r>
    </w:p>
    <w:p w14:paraId="41422CD9" w14:textId="77777777" w:rsidR="006E7CFC" w:rsidRPr="006E7CFC" w:rsidRDefault="006E7CFC" w:rsidP="006E7CFC">
      <w:pPr>
        <w:jc w:val="both"/>
      </w:pPr>
      <w:r w:rsidRPr="006E7CFC">
        <w:t>15. Non ricevette mai alcun pagamento, se non dalla madre della signora B., che le diede una o due banconote da 500 franchi francesi (FRF).  </w:t>
      </w:r>
    </w:p>
    <w:p w14:paraId="22BF5E7F" w14:textId="77777777" w:rsidR="006E7CFC" w:rsidRPr="006E7CFC" w:rsidRDefault="006E7CFC" w:rsidP="006E7CFC">
      <w:pPr>
        <w:jc w:val="both"/>
      </w:pPr>
      <w:r w:rsidRPr="006E7CFC">
        <w:t>16. Nel dicembre 1995 la ricorrente riuscì a fuggire con l'aiuto di un cittadino haitiano che la accolse per cinque o sei mesi. Si prese cura dei due figli di quest'ultimo, le fu offerto un alloggio e un vitto adeguati e ricevette 2.500 franchi francesi al mese.  </w:t>
      </w:r>
    </w:p>
    <w:p w14:paraId="2298E390" w14:textId="77777777" w:rsidR="006E7CFC" w:rsidRPr="006E7CFC" w:rsidRDefault="006E7CFC" w:rsidP="006E7CFC">
      <w:pPr>
        <w:jc w:val="both"/>
      </w:pPr>
      <w:r w:rsidRPr="006E7CFC">
        <w:t>17. Successivamente, obbedendo allo zio paterno, che era stato in contatto con i coniugi B., la ricorrente tornò dalla coppia, che si era impegnata a regolarizzare il suo status di immigrata. Tuttavia, la situazione rimase invariata: la ricorrente continuò a svolgere le faccende domestiche e a prendersi cura dei figli della coppia. Dormiva su un materasso sul pavimento della camera dei bambini, poi su un letto pieghevole, e indossava abiti di seconda mano. Il suo status di immigrata non era ancora stato regolarizzato, non riceveva retribuzione e non frequentava la scuola.  </w:t>
      </w:r>
    </w:p>
    <w:p w14:paraId="5E5ED258" w14:textId="77777777" w:rsidR="006E7CFC" w:rsidRPr="006E7CFC" w:rsidRDefault="006E7CFC" w:rsidP="006E7CFC">
      <w:pPr>
        <w:jc w:val="both"/>
      </w:pPr>
      <w:r w:rsidRPr="006E7CFC">
        <w:t>18. In una data imprecisata, la ricorrente riuscì a recuperare il suo passaporto, che affidò a un conoscente dei coniugi B. Si confidò anche con un vicino, che allertò il Comitato contro la schiavitù moderna ( </w:t>
      </w:r>
      <w:proofErr w:type="spellStart"/>
      <w:r w:rsidRPr="006E7CFC">
        <w:rPr>
          <w:i/>
          <w:iCs/>
        </w:rPr>
        <w:t>Comité</w:t>
      </w:r>
      <w:proofErr w:type="spellEnd"/>
      <w:r w:rsidRPr="006E7CFC">
        <w:rPr>
          <w:i/>
          <w:iCs/>
        </w:rPr>
        <w:t xml:space="preserve"> contre l'</w:t>
      </w:r>
      <w:proofErr w:type="spellStart"/>
      <w:r w:rsidRPr="006E7CFC">
        <w:rPr>
          <w:i/>
          <w:iCs/>
        </w:rPr>
        <w:t>esclavage</w:t>
      </w:r>
      <w:proofErr w:type="spellEnd"/>
      <w:r w:rsidRPr="006E7CFC">
        <w:rPr>
          <w:i/>
          <w:iCs/>
        </w:rPr>
        <w:t xml:space="preserve"> moderne </w:t>
      </w:r>
      <w:r w:rsidRPr="006E7CFC">
        <w:t>), il quale a sua volta presentò una denuncia alla procura in merito al caso della ricorrente.  </w:t>
      </w:r>
    </w:p>
    <w:p w14:paraId="76B85B4C" w14:textId="77777777" w:rsidR="006E7CFC" w:rsidRPr="006E7CFC" w:rsidRDefault="006E7CFC" w:rsidP="006E7CFC">
      <w:pPr>
        <w:jc w:val="both"/>
      </w:pPr>
      <w:r w:rsidRPr="006E7CFC">
        <w:lastRenderedPageBreak/>
        <w:t>19. Il 28 luglio 1998 la polizia fece irruzione nell'abitazione del signor e della signora B.  </w:t>
      </w:r>
    </w:p>
    <w:p w14:paraId="199370F1" w14:textId="77777777" w:rsidR="006E7CFC" w:rsidRPr="006E7CFC" w:rsidRDefault="006E7CFC" w:rsidP="006E7CFC">
      <w:pPr>
        <w:jc w:val="both"/>
      </w:pPr>
      <w:r w:rsidRPr="006E7CFC">
        <w:t>20. I coniugi sono stati processati con l'accusa di aver ottenuto dal luglio 1995 al luglio 1998 la prestazione di servizi senza retribuzione o in cambio di una retribuzione manifestamente sproporzionata rispetto al lavoro svolto, approfittando della vulnerabilità o dello stato di dipendenza di tale persona; di aver sottoposto una persona a condizioni di lavoro e di vita incompatibili con la dignità umana approfittando della sua vulnerabilità o dello stato di dipendenza; e di aver impiegato e mantenuto al loro servizio uno straniero non in possesso di permesso di lavoro.   </w:t>
      </w:r>
    </w:p>
    <w:p w14:paraId="48608A9E" w14:textId="77777777" w:rsidR="006E7CFC" w:rsidRPr="006E7CFC" w:rsidRDefault="006E7CFC" w:rsidP="006E7CFC">
      <w:pPr>
        <w:jc w:val="both"/>
      </w:pPr>
      <w:r w:rsidRPr="006E7CFC">
        <w:t>21. Il 10 giugno 1999 il </w:t>
      </w:r>
      <w:proofErr w:type="spellStart"/>
      <w:r w:rsidRPr="006E7CFC">
        <w:rPr>
          <w:i/>
          <w:iCs/>
        </w:rPr>
        <w:t>tribunal</w:t>
      </w:r>
      <w:proofErr w:type="spellEnd"/>
      <w:r w:rsidRPr="006E7CFC">
        <w:rPr>
          <w:i/>
          <w:iCs/>
        </w:rPr>
        <w:t xml:space="preserve"> de grande </w:t>
      </w:r>
      <w:proofErr w:type="spellStart"/>
      <w:r w:rsidRPr="006E7CFC">
        <w:rPr>
          <w:i/>
          <w:iCs/>
        </w:rPr>
        <w:t>instance</w:t>
      </w:r>
      <w:proofErr w:type="spellEnd"/>
      <w:r w:rsidRPr="006E7CFC">
        <w:rPr>
          <w:i/>
          <w:iCs/>
        </w:rPr>
        <w:t xml:space="preserve"> di Parigi </w:t>
      </w:r>
      <w:r w:rsidRPr="006E7CFC">
        <w:t>ha pronunciato la sua sentenza.  </w:t>
      </w:r>
    </w:p>
    <w:p w14:paraId="3AB2AAA9" w14:textId="77777777" w:rsidR="006E7CFC" w:rsidRPr="006E7CFC" w:rsidRDefault="006E7CFC" w:rsidP="006E7CFC">
      <w:pPr>
        <w:jc w:val="both"/>
      </w:pPr>
      <w:r w:rsidRPr="006E7CFC">
        <w:t>22. Ha ritenuto che la vulnerabilità e la dipendenza della ricorrente nella sua relazione con il signor e la signora B. erano dimostrate dal fatto che risiedeva illegalmente in Francia, era a conoscenza di tale fatto e temeva l'arresto, che il signor e la signora B. avevano nutrito tale timore promettendole di ottenere il permesso di soggiorno – un'affermazione confermata dallo zio e dal padre – e dal fatto che non aveva risorse, né amici né quasi nessuna famiglia che potesse aiutarla.  </w:t>
      </w:r>
    </w:p>
    <w:p w14:paraId="7349F85F" w14:textId="77777777" w:rsidR="006E7CFC" w:rsidRPr="006E7CFC" w:rsidRDefault="006E7CFC" w:rsidP="006E7CFC">
      <w:pPr>
        <w:jc w:val="both"/>
      </w:pPr>
      <w:r w:rsidRPr="006E7CFC">
        <w:t>23. Quanto alla mancata corresponsione di una qualsiasi o adeguata retribuzione, il tribunale ha rilevato che era stato accertato che la giovane donna era rimasta con il signor e la signora B. per diversi anni, non era un membro della loro famiglia, non poteva essere considerata una ragazza alla pari straniera che doveva essere registrata e a cui era concesso del tempo libero per migliorare le sue competenze linguistiche, era tenuta impegnata tutto il giorno con i lavori domestici, non andava a scuola e non si stava formando per una professione e che, se non fosse stata al loro servizio, il signor e la signora B. sarebbero stati costretti ad assumere un'altra persona, data la quantità di lavoro creata dalla presenza di quattro bambini in casa.  </w:t>
      </w:r>
    </w:p>
    <w:p w14:paraId="77CA52B0" w14:textId="77777777" w:rsidR="006E7CFC" w:rsidRPr="006E7CFC" w:rsidRDefault="006E7CFC" w:rsidP="006E7CFC">
      <w:pPr>
        <w:jc w:val="both"/>
      </w:pPr>
      <w:r w:rsidRPr="006E7CFC">
        <w:t>Ha pertanto concluso che sussiste il reato previsto dall'articolo 225-13 del Codice penale (vedere paragrafo 46 di seguito).</w:t>
      </w:r>
    </w:p>
    <w:p w14:paraId="27D325A5" w14:textId="77777777" w:rsidR="006E7CFC" w:rsidRPr="006E7CFC" w:rsidRDefault="006E7CFC" w:rsidP="006E7CFC">
      <w:pPr>
        <w:jc w:val="both"/>
      </w:pPr>
      <w:r w:rsidRPr="006E7CFC">
        <w:t>24. La corte ha inoltre ritenuto accertato che il signor e la signora B. impiegavano uno straniero che non era in possesso di un permesso di lavoro.  </w:t>
      </w:r>
    </w:p>
    <w:p w14:paraId="6A580095" w14:textId="77777777" w:rsidR="006E7CFC" w:rsidRPr="006E7CFC" w:rsidRDefault="006E7CFC" w:rsidP="006E7CFC">
      <w:pPr>
        <w:jc w:val="both"/>
      </w:pPr>
      <w:r w:rsidRPr="006E7CFC">
        <w:t>25. La corte ha osservato che le parti avevano presentato versioni divergenti in merito alle accuse secondo cui le condizioni di lavoro e di vita erano incompatibili con la dignità umana.  </w:t>
      </w:r>
    </w:p>
    <w:p w14:paraId="4D1B4592" w14:textId="77777777" w:rsidR="006E7CFC" w:rsidRPr="006E7CFC" w:rsidRDefault="006E7CFC" w:rsidP="006E7CFC">
      <w:pPr>
        <w:jc w:val="both"/>
      </w:pPr>
      <w:r w:rsidRPr="006E7CFC">
        <w:t>La Corte ha rilevato che la ricorrente lavorava chiaramente molte ore e non godeva di un giorno libero, sebbene le fosse stato concesso il permesso di partecipare alla messa. Ha osservato che una persona che rimaneva a casa con quattro figli iniziava necessariamente il suo lavoro la mattina presto e finiva la sera tardi, ma aveva momenti di tregua durante il giorno; tuttavia, l'entità del coinvolgimento della signora B. in questo lavoro non era stata stabilita.</w:t>
      </w:r>
    </w:p>
    <w:p w14:paraId="2A48CC08" w14:textId="77777777" w:rsidR="006E7CFC" w:rsidRPr="006E7CFC" w:rsidRDefault="006E7CFC" w:rsidP="006E7CFC">
      <w:pPr>
        <w:jc w:val="both"/>
      </w:pPr>
      <w:r w:rsidRPr="006E7CFC">
        <w:t xml:space="preserve">26. La Corte ha concluso che, sebbene sembrasse accertato che le norme sul lavoro non erano state rispettate per quanto riguarda l'orario di lavoro e il riposo, ciò non era sufficiente per ritenere che le condizioni di lavoro fossero incompatibili con la dignità umana, il che avrebbe implicato, ad esempio, un ritmo frenetico, frequenti insulti e molestie, la necessità di una particolare forza fisica </w:t>
      </w:r>
      <w:r w:rsidRPr="006E7CFC">
        <w:lastRenderedPageBreak/>
        <w:t>sproporzionata rispetto alla costituzione del dipendente e la necessità di lavorare in locali insalubri, cosa che non era accaduta in questo caso.  </w:t>
      </w:r>
    </w:p>
    <w:p w14:paraId="45C80827" w14:textId="77777777" w:rsidR="006E7CFC" w:rsidRPr="006E7CFC" w:rsidRDefault="006E7CFC" w:rsidP="006E7CFC">
      <w:pPr>
        <w:jc w:val="both"/>
      </w:pPr>
      <w:r w:rsidRPr="006E7CFC">
        <w:t>27. Quanto all'alloggio della ricorrente, il tribunale ha osservato che il signor e la signora B., che erano benestanti, non avevano ritenuto opportuno riservarle uno spazio per uso personale e che, sebbene tale situazione fosse deplorevole e indicasse la loro mancanza di riguardo nei suoi confronti, le sue condizioni di vita non potevano essere considerate lesive della dignità umana, dato che numerose persone, soprattutto nella regione parigina, non disponevano di una stanza propria. Un alloggio che violava la dignità umana implicava una stanza antigienica, non riscaldata, senza la possibilità di provvedere alle proprie esigenze igieniche di base, o locali talmente al di sotto delle norme applicabili da rendere pericolosa la loro occupazione.  </w:t>
      </w:r>
    </w:p>
    <w:p w14:paraId="25ED9151" w14:textId="77777777" w:rsidR="006E7CFC" w:rsidRPr="006E7CFC" w:rsidRDefault="006E7CFC" w:rsidP="006E7CFC">
      <w:pPr>
        <w:jc w:val="both"/>
      </w:pPr>
      <w:r w:rsidRPr="006E7CFC">
        <w:t>28. Di conseguenza, la Corte ha ritenuto che il reato previsto dall'articolo 225-14 del Codice penale ( vedi paragrafo 46 di seguito) non fosse stato accertato.   </w:t>
      </w:r>
    </w:p>
    <w:p w14:paraId="25EC9F67" w14:textId="77777777" w:rsidR="006E7CFC" w:rsidRPr="006E7CFC" w:rsidRDefault="006E7CFC" w:rsidP="006E7CFC">
      <w:pPr>
        <w:jc w:val="both"/>
      </w:pPr>
      <w:r w:rsidRPr="006E7CFC">
        <w:t>Ciononostante, i giudici hanno concluso che i reati di cui erano stati condannati il ​​signor e la signora B. erano incontestabilmente gravi e dovevano essere severamente puniti, soprattutto perché la coppia riteneva di aver trattato il ricorrente in modo del tutto corretto.</w:t>
      </w:r>
    </w:p>
    <w:p w14:paraId="01ABF722" w14:textId="77777777" w:rsidR="006E7CFC" w:rsidRPr="006E7CFC" w:rsidRDefault="006E7CFC" w:rsidP="006E7CFC">
      <w:pPr>
        <w:jc w:val="both"/>
      </w:pPr>
      <w:r w:rsidRPr="006E7CFC">
        <w:t>Di conseguenza, li hanno condannati a dodici mesi di reclusione ciascuno, di cui sette con pena sospesa, a una multa di 100.000 franchi francesi e a pagare, in solido, 100.000 franchi francesi al ricorrente a titolo di risarcimento danni. Inoltre, il signor e la signora B. hanno perso i loro diritti civili e familiari per tre anni.</w:t>
      </w:r>
    </w:p>
    <w:p w14:paraId="3D34761E" w14:textId="77777777" w:rsidR="006E7CFC" w:rsidRPr="006E7CFC" w:rsidRDefault="006E7CFC" w:rsidP="006E7CFC">
      <w:pPr>
        <w:jc w:val="both"/>
      </w:pPr>
      <w:r w:rsidRPr="006E7CFC">
        <w:t>29. Il signor e la signora B. hanno presentato ricorso contro questa decisione.  </w:t>
      </w:r>
    </w:p>
    <w:p w14:paraId="20A44188" w14:textId="77777777" w:rsidR="006E7CFC" w:rsidRPr="006E7CFC" w:rsidRDefault="006E7CFC" w:rsidP="006E7CFC">
      <w:pPr>
        <w:jc w:val="both"/>
      </w:pPr>
      <w:r w:rsidRPr="006E7CFC">
        <w:t>30. Il 20 aprile 2000 la Corte d'appello di Parigi ha emesso una sentenza interlocutoria ordinando ulteriori indagini.  </w:t>
      </w:r>
    </w:p>
    <w:p w14:paraId="5872C6B6" w14:textId="77777777" w:rsidR="006E7CFC" w:rsidRPr="006E7CFC" w:rsidRDefault="006E7CFC" w:rsidP="006E7CFC">
      <w:pPr>
        <w:jc w:val="both"/>
      </w:pPr>
      <w:r w:rsidRPr="006E7CFC">
        <w:t>31. Il 19 ottobre 2000 ha pronunciato la sentenza nel merito.  </w:t>
      </w:r>
    </w:p>
    <w:p w14:paraId="463E18D2" w14:textId="77777777" w:rsidR="006E7CFC" w:rsidRPr="006E7CFC" w:rsidRDefault="006E7CFC" w:rsidP="006E7CFC">
      <w:pPr>
        <w:jc w:val="both"/>
      </w:pPr>
      <w:r w:rsidRPr="006E7CFC">
        <w:t>32. La Corte d'Appello ha ritenuto che l'indagine supplementare avesse permesso di confermare che la ricorrente era arrivata in Francia all'età di 15 anni e 7 mesi, in possesso di passaporto e di un visto turistico di tre mesi. Durante il periodo in cui aveva vissuto con la signora D., da gennaio a ottobre 1994, era stata impiegata da quest'ultima, in primo luogo, per svolgere lavori domestici, cucinare e prendersi cura del figlio, e, in secondo luogo, presso l'attività di abbigliamento di quest'ultima, dove si occupava anche delle pulizie e restituiva agli stand gli abiti provati dai clienti, senza alcuna retribuzione.   </w:t>
      </w:r>
    </w:p>
    <w:p w14:paraId="574B0EEC" w14:textId="77777777" w:rsidR="006E7CFC" w:rsidRPr="006E7CFC" w:rsidRDefault="006E7CFC" w:rsidP="006E7CFC">
      <w:pPr>
        <w:jc w:val="both"/>
      </w:pPr>
      <w:r w:rsidRPr="006E7CFC">
        <w:t>33. Intorno all'ottobre 1994, la ricorrente aveva trascorso alcuni giorni a casa del signor e della signora B., poco prima che la signora B. desse alla luce il suo quarto figlio. Ogni giorno si recava in metropolitana a casa del signor e della signora B. e la sera tornava a casa della signora D. per dormire.  </w:t>
      </w:r>
    </w:p>
    <w:p w14:paraId="75885D61" w14:textId="77777777" w:rsidR="006E7CFC" w:rsidRPr="006E7CFC" w:rsidRDefault="006E7CFC" w:rsidP="006E7CFC">
      <w:pPr>
        <w:jc w:val="both"/>
      </w:pPr>
      <w:r w:rsidRPr="006E7CFC">
        <w:t>34. Nel luglio/agosto 1994 fu "prestata" ai coniugi B. e rimase nella loro casa fino al dicembre 1995, quando partì per l'abitazione della signora G., dove fu retribuita per il suo lavoro e le fu dato un alloggio. Era tornata dai coniugi B. nel maggio/giugno 1996 su consiglio dello zio.  </w:t>
      </w:r>
    </w:p>
    <w:p w14:paraId="0B7356CA" w14:textId="77777777" w:rsidR="006E7CFC" w:rsidRPr="006E7CFC" w:rsidRDefault="006E7CFC" w:rsidP="006E7CFC">
      <w:pPr>
        <w:jc w:val="both"/>
      </w:pPr>
      <w:r w:rsidRPr="006E7CFC">
        <w:lastRenderedPageBreak/>
        <w:t>35. La Corte d'appello ha rilevato che era stato accertato che il ricorrente era un immigrato illegale e non aveva ricevuto alcuna retribuzione effettiva.  </w:t>
      </w:r>
    </w:p>
    <w:p w14:paraId="62D5434B" w14:textId="77777777" w:rsidR="006E7CFC" w:rsidRPr="006E7CFC" w:rsidRDefault="006E7CFC" w:rsidP="006E7CFC">
      <w:pPr>
        <w:jc w:val="both"/>
      </w:pPr>
      <w:r w:rsidRPr="006E7CFC">
        <w:t>Inoltre, ha osservato che sembrava che la ricorrente avesse una buona conoscenza del francese, lingua che aveva imparato nel suo paese.</w:t>
      </w:r>
    </w:p>
    <w:p w14:paraId="2A839221" w14:textId="77777777" w:rsidR="006E7CFC" w:rsidRPr="006E7CFC" w:rsidRDefault="006E7CFC" w:rsidP="006E7CFC">
      <w:pPr>
        <w:jc w:val="both"/>
      </w:pPr>
      <w:r w:rsidRPr="006E7CFC">
        <w:t xml:space="preserve">Inoltre, aveva imparato a orientarsi a Parigi, inizialmente per andare dalla casa della signora D. ai locali commerciali di quest'ultima, poi per recarsi a </w:t>
      </w:r>
      <w:proofErr w:type="spellStart"/>
      <w:r w:rsidRPr="006E7CFC">
        <w:t>Maisons-Alfort</w:t>
      </w:r>
      <w:proofErr w:type="spellEnd"/>
      <w:r w:rsidRPr="006E7CFC">
        <w:t>, dove viveva la signora G., e infine per tornare a</w:t>
      </w:r>
      <w:r w:rsidRPr="006E7CFC">
        <w:br/>
        <w:t>casa del signor e della signora B.</w:t>
      </w:r>
    </w:p>
    <w:p w14:paraId="1489B576" w14:textId="77777777" w:rsidR="006E7CFC" w:rsidRPr="006E7CFC" w:rsidRDefault="006E7CFC" w:rsidP="006E7CFC">
      <w:pPr>
        <w:jc w:val="both"/>
      </w:pPr>
      <w:r w:rsidRPr="006E7CFC">
        <w:t>36. Godeva di una certa indipendenza, poiché accompagnava i bambini nei luoghi in cui si svolgevano le loro attività educative e sportive e successivamente li riprendeva. Poteva anche partecipare a una funzione cattolica in una chiesa vicina all'abitazione del signor e della signora B. Inoltre, usciva di casa per andare a fare la spesa, poiché era stato in una di quelle occasioni che aveva incontrato la signora G. e aveva concordato con lei di recarsi a casa di quest'ultima.  </w:t>
      </w:r>
    </w:p>
    <w:p w14:paraId="02032F8F" w14:textId="77777777" w:rsidR="006E7CFC" w:rsidRPr="006E7CFC" w:rsidRDefault="006E7CFC" w:rsidP="006E7CFC">
      <w:pPr>
        <w:jc w:val="both"/>
      </w:pPr>
      <w:r w:rsidRPr="006E7CFC">
        <w:t>37. La Corte d'Appello ha inoltre osservato che la ricorrente aveva avuto l'opportunità di contattare telefonicamente lo zio fuori dall'abitazione del signor e della signora B. e di pagare le chiamate da una cabina telefonica. Aveva incontrato il padre e lo zio e non si era mai lamentata della sua situazione.  </w:t>
      </w:r>
    </w:p>
    <w:p w14:paraId="4F44438F" w14:textId="77777777" w:rsidR="006E7CFC" w:rsidRPr="006E7CFC" w:rsidRDefault="006E7CFC" w:rsidP="006E7CFC">
      <w:pPr>
        <w:jc w:val="both"/>
      </w:pPr>
      <w:r w:rsidRPr="006E7CFC">
        <w:t>38. Inoltre, la madre della signora B. ha confermato che la ricorrente parlava bene il francese e che era solita donarle piccole somme di denaro per le feste di famiglia. Aveva spesso ospitato la ricorrente e i suoi nipoti nella sua casa di campagna e non l'aveva mai sentita lamentarsi di maltrattamenti o disprezzo, sebbene fosse stata libera di esprimere le sue opinioni.  </w:t>
      </w:r>
    </w:p>
    <w:p w14:paraId="08E0B127" w14:textId="77777777" w:rsidR="006E7CFC" w:rsidRPr="006E7CFC" w:rsidRDefault="006E7CFC" w:rsidP="006E7CFC">
      <w:pPr>
        <w:jc w:val="both"/>
      </w:pPr>
      <w:r w:rsidRPr="006E7CFC">
        <w:t>39. Lo zio della ricorrente ha dichiarato che lei era libera, tra le altre cose, di uscire di casa e chiamarlo da una cabina telefonica, che era vestita in modo appropriato, in buona salute e aveva sempre del denaro, che non poteva provenire da nessuno se non dal signor e dalla signora B. Si era offerto di darle del denaro, ma lei non glielo aveva mai chiesto. Ha aggiunto di aver sollevato la questione con la signora B., la quale gli aveva detto che ogni mese veniva accantonata una certa somma per costituire un gruzzolo per la ricorrente, che le sarebbe stato consegnato al momento della sua partenza, e che la ragazza era a conoscenza di questo accordo.  </w:t>
      </w:r>
    </w:p>
    <w:p w14:paraId="2EF8D460" w14:textId="77777777" w:rsidR="006E7CFC" w:rsidRPr="006E7CFC" w:rsidRDefault="006E7CFC" w:rsidP="006E7CFC">
      <w:pPr>
        <w:jc w:val="both"/>
      </w:pPr>
      <w:r w:rsidRPr="006E7CFC">
        <w:t>Egli ha affermato che, sulla base di quanto aveva potuto osservare e concludere dalle sue conversazioni con la ricorrente e con la signora B., la ragazza non era stata tenuta come schiava nella casa in cui viveva.</w:t>
      </w:r>
    </w:p>
    <w:p w14:paraId="1AF82AFD" w14:textId="77777777" w:rsidR="006E7CFC" w:rsidRPr="006E7CFC" w:rsidRDefault="006E7CFC" w:rsidP="006E7CFC">
      <w:pPr>
        <w:jc w:val="both"/>
      </w:pPr>
      <w:r w:rsidRPr="006E7CFC">
        <w:t>40. La Corte d'appello ha stabilito che le indagini e le udienze supplementari avevano dimostrato che, sebbene sembrasse che la ricorrente non fosse stata pagata o che il pagamento fosse chiaramente sproporzionato rispetto alla quantità di lavoro svolto (sebbene l'intenzione degli imputati di creare un gruzzolo che le sarebbe stato consegnato al momento della partenza non fosse stata seriamente contestata), al contrario non era stata dimostrata l'esistenza di condizioni di lavoro o di vita incompatibili con la dignità umana.  </w:t>
      </w:r>
    </w:p>
    <w:p w14:paraId="3D95E3A8" w14:textId="77777777" w:rsidR="006E7CFC" w:rsidRPr="006E7CFC" w:rsidRDefault="006E7CFC" w:rsidP="006E7CFC">
      <w:pPr>
        <w:jc w:val="both"/>
      </w:pPr>
      <w:r w:rsidRPr="006E7CFC">
        <w:lastRenderedPageBreak/>
        <w:t>Ha inoltre ritenuto che non fosse stato dimostrato che la ricorrente si trovasse in uno stato di vulnerabilità o dipendenza poiché, approfittando della sua capacità di andare e venire a piacimento, contattando la sua famiglia in qualsiasi momento, lasciando la casa del signor e della signora B. per un periodo considerevole e ritornandovi senza coercizione, la ragazza aveva, nonostante la sua giovane età, dimostrato una forma innegabile di indipendenza e la vulnerabilità non poteva essere dimostrata semplicemente sulla base del fatto che era straniera.</w:t>
      </w:r>
    </w:p>
    <w:p w14:paraId="3A4B8344" w14:textId="77777777" w:rsidR="006E7CFC" w:rsidRPr="006E7CFC" w:rsidRDefault="006E7CFC" w:rsidP="006E7CFC">
      <w:pPr>
        <w:jc w:val="both"/>
      </w:pPr>
      <w:r w:rsidRPr="006E7CFC">
        <w:t>Di conseguenza, la Corte d'appello ha assolto gli imputati da tutte le accuse a loro carico.</w:t>
      </w:r>
    </w:p>
    <w:p w14:paraId="7DF79C5E" w14:textId="77777777" w:rsidR="006E7CFC" w:rsidRPr="006E7CFC" w:rsidRDefault="006E7CFC" w:rsidP="006E7CFC">
      <w:pPr>
        <w:jc w:val="both"/>
      </w:pPr>
      <w:r w:rsidRPr="006E7CFC">
        <w:t>41. Il ricorrente ha proposto ricorso per cassazione avverso tale sentenza. La Procura Generale non ha presentato alcun ricorso.  </w:t>
      </w:r>
    </w:p>
    <w:p w14:paraId="1F36CC18" w14:textId="77777777" w:rsidR="006E7CFC" w:rsidRPr="006E7CFC" w:rsidRDefault="006E7CFC" w:rsidP="006E7CFC">
      <w:pPr>
        <w:jc w:val="both"/>
      </w:pPr>
      <w:r w:rsidRPr="006E7CFC">
        <w:t>42. In una lettera del 27 ottobre 2000 al Presidente del Comitato contro la schiavitù moderna, il pubblico ministero presso la Corte d'appello di Parigi ha scritto:  </w:t>
      </w:r>
    </w:p>
    <w:p w14:paraId="144077A2" w14:textId="77777777" w:rsidR="006E7CFC" w:rsidRPr="006E7CFC" w:rsidRDefault="006E7CFC" w:rsidP="006E7CFC">
      <w:pPr>
        <w:jc w:val="both"/>
      </w:pPr>
      <w:r w:rsidRPr="006E7CFC">
        <w:t>“Nella vostra lettera del 23 ottobre 2000 mi avete chiesto di comunicarvi se l'ufficio del pubblico ministero da me diretto ha presentato ricorso per cassazione avverso la sentenza pronunciata il 19 ottobre 2000 dalla dodicesima sezione del tribunale che ha esaminato l'appello nel procedimento penale contro il signor e la signora B.</w:t>
      </w:r>
    </w:p>
    <w:p w14:paraId="083A3D33" w14:textId="77777777" w:rsidR="006E7CFC" w:rsidRPr="006E7CFC" w:rsidRDefault="006E7CFC" w:rsidP="006E7CFC">
      <w:pPr>
        <w:jc w:val="both"/>
      </w:pPr>
      <w:r w:rsidRPr="006E7CFC">
        <w:t>La decisione della Corte d'appello di assolvere gli imputati dai due reati di insufficiente remunerazione di una persona in una posizione vulnerabile e di sottoposizione di una persona in uno stato di vulnerabilità o dipendenza a condizioni di lavoro degradanti si è basata su una valutazione di elementi di puro fatto.</w:t>
      </w:r>
    </w:p>
    <w:p w14:paraId="3D4A7B9C" w14:textId="77777777" w:rsidR="006E7CFC" w:rsidRPr="006E7CFC" w:rsidRDefault="006E7CFC" w:rsidP="006E7CFC">
      <w:pPr>
        <w:jc w:val="both"/>
      </w:pPr>
      <w:r w:rsidRPr="006E7CFC">
        <w:t>Poiché la Corte di Cassazione ritiene che tali valutazioni rientrino nella discrezionalità incondizionata dei giudici di merito, un ricorso per motivi di diritto non potrebbe essere efficacemente sostenuto.</w:t>
      </w:r>
    </w:p>
    <w:p w14:paraId="6D74DE58" w14:textId="77777777" w:rsidR="006E7CFC" w:rsidRPr="006E7CFC" w:rsidRDefault="006E7CFC" w:rsidP="006E7CFC">
      <w:pPr>
        <w:jc w:val="both"/>
      </w:pPr>
      <w:r w:rsidRPr="006E7CFC">
        <w:t>Ecco perché non ho fatto uso di quel rimedio."</w:t>
      </w:r>
    </w:p>
    <w:p w14:paraId="3782CB88" w14:textId="77777777" w:rsidR="006E7CFC" w:rsidRPr="006E7CFC" w:rsidRDefault="006E7CFC" w:rsidP="006E7CFC">
      <w:pPr>
        <w:jc w:val="both"/>
      </w:pPr>
      <w:r w:rsidRPr="006E7CFC">
        <w:t>43. La Corte di Cassazione ha pronunciato la sua sentenza l'11 dicembre 2001. Essa ha stabilito quanto segue:  </w:t>
      </w:r>
    </w:p>
    <w:p w14:paraId="2FC6FA19" w14:textId="77777777" w:rsidR="006E7CFC" w:rsidRPr="006E7CFC" w:rsidRDefault="006E7CFC" w:rsidP="006E7CFC">
      <w:pPr>
        <w:jc w:val="both"/>
      </w:pPr>
      <w:r w:rsidRPr="006E7CFC">
        <w:t>“Tutte le sentenze devono contenere motivazioni che giustifichino la decisione presa; fornire motivazioni inadeguate o contraddittorie equivale a non fornire alcuna motivazione.</w:t>
      </w:r>
    </w:p>
    <w:p w14:paraId="7F7554D0" w14:textId="77777777" w:rsidR="006E7CFC" w:rsidRPr="006E7CFC" w:rsidRDefault="006E7CFC" w:rsidP="006E7CFC">
      <w:pPr>
        <w:jc w:val="both"/>
      </w:pPr>
      <w:r w:rsidRPr="006E7CFC">
        <w:t>Dopo un'indagine sulla situazione della [ricorrente], una giovane cittadina togolese che avevano assunto e ospitato presso la loro abitazione fin dall'età di 16 anni, V. e AB sono stati citati direttamente dinanzi al tribunale penale per, in primo luogo, aver approfittato della vulnerabilità o dello stato di dipendenza di una persona per ottenere servizi senza retribuzione o con una retribuzione adeguata, in violazione dell'articolo 225-13 del codice penale e, in secondo luogo, per aver sottoposto tale persona a condizioni di lavoro o di vita incompatibili con la dignità umana, in violazione dell'articolo 225-14 dello stesso codice.</w:t>
      </w:r>
    </w:p>
    <w:p w14:paraId="5343B78E" w14:textId="77777777" w:rsidR="006E7CFC" w:rsidRPr="006E7CFC" w:rsidRDefault="006E7CFC" w:rsidP="006E7CFC">
      <w:pPr>
        <w:jc w:val="both"/>
      </w:pPr>
      <w:r w:rsidRPr="006E7CFC">
        <w:t xml:space="preserve">Nell'assolvere gli imputati dai due reati sopra menzionati e nel rigettare le domande della parte civile in merito, la corte d'appello, pur avendo rilevato che [la ricorrente] era una minorenne straniera, senza permesso di soggiorno o di lavoro e senza risorse, ha tuttavia affermato che non era stato </w:t>
      </w:r>
      <w:r w:rsidRPr="006E7CFC">
        <w:lastRenderedPageBreak/>
        <w:t>dimostrato il suo stato di vulnerabilità e dipendenza, elemento costitutivo comune dei reati contestati, atteso che la ragazza godeva di una certa libertà di movimento e che tale vulnerabilità non poteva essere dimostrata solo in base alla sua condizione di straniera.</w:t>
      </w:r>
    </w:p>
    <w:p w14:paraId="67E5B67F" w14:textId="77777777" w:rsidR="006E7CFC" w:rsidRPr="006E7CFC" w:rsidRDefault="006E7CFC" w:rsidP="006E7CFC">
      <w:pPr>
        <w:jc w:val="both"/>
      </w:pPr>
      <w:r w:rsidRPr="006E7CFC">
        <w:t>Inoltre, nel ritenere che il reato definito dall'articolo 225-13 del codice penale non fosse stato accertato, la corte ha aggiunto che "sembra che la ricorrente non sia stata pagata o che il pagamento sia stato chiaramente sproporzionato rispetto alla quantità di lavoro svolto (sebbene l'intenzione degli imputati di costituire un gruzzolo che le sarebbe stato consegnato al momento della partenza non sia stata seriamente contestata)".</w:t>
      </w:r>
    </w:p>
    <w:p w14:paraId="72972643" w14:textId="77777777" w:rsidR="006E7CFC" w:rsidRPr="006E7CFC" w:rsidRDefault="006E7CFC" w:rsidP="006E7CFC">
      <w:pPr>
        <w:jc w:val="both"/>
      </w:pPr>
      <w:r w:rsidRPr="006E7CFC">
        <w:t>Infine, nell'assolvere gli imputati dal reato di cui all'articolo 225-14 del Codice penale, i tribunali hanno ritenuto che la sottoposizione a condizioni di lavoro o di vita incompatibili con la dignità umana "non era stata dimostrata".</w:t>
      </w:r>
    </w:p>
    <w:p w14:paraId="2BA3C969" w14:textId="77777777" w:rsidR="006E7CFC" w:rsidRPr="006E7CFC" w:rsidRDefault="006E7CFC" w:rsidP="006E7CFC">
      <w:pPr>
        <w:jc w:val="both"/>
      </w:pPr>
      <w:r w:rsidRPr="006E7CFC">
        <w:t>Tuttavia, pronunciandosi in tal modo, con motivazioni inadeguate e inefficaci in relazione allo stato di vulnerabilità e dipendenza della vittima e contraddittorie in relazione alla sua retribuzione, e senza specificare gli elementi di fatto che dimostravano la compatibilità delle sue condizioni di lavoro con la dignità umana, la Corte d'appello non ha tratto dalle sue conclusioni le conclusioni giuridiche richieste alla luce dell'articolo 225-13 del Codice penale e non ha giustificato la sua decisione alla luce dell'articolo 225-14 di tale Codice.</w:t>
      </w:r>
    </w:p>
    <w:p w14:paraId="4572785E" w14:textId="77777777" w:rsidR="006E7CFC" w:rsidRPr="006E7CFC" w:rsidRDefault="006E7CFC" w:rsidP="006E7CFC">
      <w:pPr>
        <w:jc w:val="both"/>
      </w:pPr>
      <w:r w:rsidRPr="006E7CFC">
        <w:t>La sentenza deve pertanto essere annullata.</w:t>
      </w:r>
    </w:p>
    <w:p w14:paraId="538082F7" w14:textId="77777777" w:rsidR="006E7CFC" w:rsidRPr="006E7CFC" w:rsidRDefault="006E7CFC" w:rsidP="006E7CFC">
      <w:pPr>
        <w:jc w:val="both"/>
      </w:pPr>
      <w:r w:rsidRPr="006E7CFC">
        <w:t>Per queste ragioni,</w:t>
      </w:r>
    </w:p>
    <w:p w14:paraId="042D2F40" w14:textId="77777777" w:rsidR="006E7CFC" w:rsidRPr="006E7CFC" w:rsidRDefault="006E7CFC" w:rsidP="006E7CFC">
      <w:pPr>
        <w:jc w:val="both"/>
      </w:pPr>
      <w:r w:rsidRPr="006E7CFC">
        <w:t>[La Corte di cassazione] annulla la sentenza della Corte d'appello di Parigi del 19 ottobre 2000, sopra menzionata, limitatamente alle disposizioni che respingono le domande di risarcimento della parte civile per i reati previsti dagli articoli 225-13 e 225-14 del codice penale, mantenendo espressamente tutte le altre disposizioni, e dispone che la causa sia rinviata, conformemente alla legge, per una nuova trattazione delle questioni per le quali il presente ricorso è stato accolto. ...”</w:t>
      </w:r>
    </w:p>
    <w:p w14:paraId="547A64D8" w14:textId="77777777" w:rsidR="006E7CFC" w:rsidRPr="006E7CFC" w:rsidRDefault="006E7CFC" w:rsidP="006E7CFC">
      <w:pPr>
        <w:jc w:val="both"/>
      </w:pPr>
      <w:r w:rsidRPr="006E7CFC">
        <w:t>44. La Corte d'appello di Versailles, alla quale il caso è stato successivamente deferito, ha pronunciato la sua sentenza il 15 maggio 2003. Essa ha stabilito, </w:t>
      </w:r>
      <w:r w:rsidRPr="006E7CFC">
        <w:rPr>
          <w:i/>
          <w:iCs/>
        </w:rPr>
        <w:t>tra l'altro </w:t>
      </w:r>
      <w:r w:rsidRPr="006E7CFC">
        <w:t>, quanto segue:  </w:t>
      </w:r>
    </w:p>
    <w:p w14:paraId="767B8DF4" w14:textId="77777777" w:rsidR="006E7CFC" w:rsidRPr="006E7CFC" w:rsidRDefault="006E7CFC" w:rsidP="006E7CFC">
      <w:pPr>
        <w:jc w:val="both"/>
      </w:pPr>
      <w:r w:rsidRPr="006E7CFC">
        <w:t>«Come è stato correttamente osservato in primo grado, le prove dimostrano che [la ricorrente], una straniera arrivata in Francia all'età di 16 anni, ha lavorato per diversi anni per il signor e la signora B., svolgendo lavori domestici e prendendosi cura dei loro tre, e successivamente quattro, figli per sette giorni alla settimana, dalle 7:00 alle 22:00, senza ricevere alcuna retribuzione; contrariamente a quanto sostenuto dagli imputati, non era considerata un'amica di famiglia, poiché era obbligata a seguire le istruzioni della signora B. riguardo ai suoi orari di lavoro e al lavoro da svolgere, e non era libera di andare e venire a suo piacimento.</w:t>
      </w:r>
    </w:p>
    <w:p w14:paraId="7D01C186" w14:textId="77777777" w:rsidR="006E7CFC" w:rsidRPr="006E7CFC" w:rsidRDefault="006E7CFC" w:rsidP="006E7CFC">
      <w:pPr>
        <w:jc w:val="both"/>
      </w:pPr>
      <w:r w:rsidRPr="006E7CFC">
        <w:t>Inoltre, non vi è alcuna prova che dimostri che sia stato accumulato un gruzzolo per lei, poiché l'elenco dei pagamenti presumibilmente effettuati dagli imputati è intestato alla signora B.</w:t>
      </w:r>
    </w:p>
    <w:p w14:paraId="476A237F" w14:textId="77777777" w:rsidR="006E7CFC" w:rsidRPr="006E7CFC" w:rsidRDefault="006E7CFC" w:rsidP="006E7CFC">
      <w:pPr>
        <w:jc w:val="both"/>
      </w:pPr>
      <w:r w:rsidRPr="006E7CFC">
        <w:t>Soltanto durante l'udienza davanti al </w:t>
      </w:r>
      <w:proofErr w:type="spellStart"/>
      <w:r w:rsidRPr="006E7CFC">
        <w:rPr>
          <w:i/>
          <w:iCs/>
        </w:rPr>
        <w:t>tribunal</w:t>
      </w:r>
      <w:proofErr w:type="spellEnd"/>
      <w:r w:rsidRPr="006E7CFC">
        <w:rPr>
          <w:i/>
          <w:iCs/>
        </w:rPr>
        <w:t xml:space="preserve"> de grande </w:t>
      </w:r>
      <w:proofErr w:type="spellStart"/>
      <w:r w:rsidRPr="006E7CFC">
        <w:rPr>
          <w:i/>
          <w:iCs/>
        </w:rPr>
        <w:t>instance</w:t>
      </w:r>
      <w:proofErr w:type="spellEnd"/>
      <w:r w:rsidRPr="006E7CFC">
        <w:rPr>
          <w:i/>
          <w:iCs/>
        </w:rPr>
        <w:t> </w:t>
      </w:r>
      <w:r w:rsidRPr="006E7CFC">
        <w:t>gli imputati consegnarono alla vittima la somma di 50.000 franchi.</w:t>
      </w:r>
    </w:p>
    <w:p w14:paraId="4DE095AE" w14:textId="77777777" w:rsidR="006E7CFC" w:rsidRPr="006E7CFC" w:rsidRDefault="006E7CFC" w:rsidP="006E7CFC">
      <w:pPr>
        <w:jc w:val="both"/>
      </w:pPr>
      <w:r w:rsidRPr="006E7CFC">
        <w:lastRenderedPageBreak/>
        <w:t>Infine, lungi dal dimostrare che [la ricorrente] fosse felice di tornare a casa del signor e della signora B., le condizioni in cui lo ha fatto dopo un'assenza di diversi mesi sono, al contrario, indicative della pressione a cui era stata sottoposta dalla sua famiglia e del suo stato di rassegnazione e di sconforto emotivo. </w:t>
      </w:r>
    </w:p>
    <w:p w14:paraId="3BDB062F" w14:textId="77777777" w:rsidR="006E7CFC" w:rsidRPr="006E7CFC" w:rsidRDefault="006E7CFC" w:rsidP="006E7CFC">
      <w:pPr>
        <w:jc w:val="both"/>
      </w:pPr>
      <w:r w:rsidRPr="006E7CFC">
        <w:t>Per quanto riguarda lo stato di dipendenza e vulnerabilità della vittima nel periodo in esame, occorre rilevare che la ragazza era minorenne, di nazionalità togolese, immigrata clandestinamente in Francia, sprovvista di passaporto, il più delle volte senza denaro, e che poteva muoversi solo sotto la supervisione della signora B. per le attività educative e sportive dei figli.</w:t>
      </w:r>
    </w:p>
    <w:p w14:paraId="5C8907F9" w14:textId="77777777" w:rsidR="006E7CFC" w:rsidRPr="006E7CFC" w:rsidRDefault="006E7CFC" w:rsidP="006E7CFC">
      <w:pPr>
        <w:jc w:val="both"/>
      </w:pPr>
      <w:r w:rsidRPr="006E7CFC">
        <w:t>Di conseguenza, è sulla base di motivi legittimi, condivisi da questa Corte, che il tribunale di primo grado ha ritenuto che gli elementi costitutivi del reato punibile ai sensi dell'articolo 225-13 del Codice penale fossero accertati nei confronti degli imputati.</w:t>
      </w:r>
    </w:p>
    <w:p w14:paraId="1003BF91" w14:textId="77777777" w:rsidR="006E7CFC" w:rsidRPr="006E7CFC" w:rsidRDefault="006E7CFC" w:rsidP="006E7CFC">
      <w:pPr>
        <w:jc w:val="both"/>
      </w:pPr>
      <w:r w:rsidRPr="006E7CFC">
        <w:t>In relazione al reato di sottoporre una persona in situazione di vulnerabilità o dipendenza a condizioni di lavoro o di vita incompatibili con la dignità umana:</w:t>
      </w:r>
    </w:p>
    <w:p w14:paraId="7AD8C48F" w14:textId="77777777" w:rsidR="006E7CFC" w:rsidRPr="006E7CFC" w:rsidRDefault="006E7CFC" w:rsidP="006E7CFC">
      <w:pPr>
        <w:jc w:val="both"/>
      </w:pPr>
      <w:r w:rsidRPr="006E7CFC">
        <w:t>Come ha giustamente osservato il tribunale di primo grado, lo svolgimento di lavori domestici e la cura dei figli durante tutto il giorno non possono di per sé costituire condizioni di lavoro incompatibili con la dignità umana, essendo questa la sorte di molte madri; inoltre, le accuse della parte civile di trattamenti umilianti o molestie non sono state provate.</w:t>
      </w:r>
    </w:p>
    <w:p w14:paraId="68F9AC90" w14:textId="77777777" w:rsidR="006E7CFC" w:rsidRPr="006E7CFC" w:rsidRDefault="006E7CFC" w:rsidP="006E7CFC">
      <w:pPr>
        <w:jc w:val="both"/>
      </w:pPr>
      <w:r w:rsidRPr="006E7CFC">
        <w:t>Parimenti, il fatto che [la ricorrente] non avesse uno spazio riservato al suo uso personale non significa che la sistemazione fosse incompatibile con la dignità umana, dato che i figli del signor e della signora B condividevano la stessa stanza, il che non era affatto antigienico.</w:t>
      </w:r>
    </w:p>
    <w:p w14:paraId="4D5E1203" w14:textId="77777777" w:rsidR="006E7CFC" w:rsidRPr="006E7CFC" w:rsidRDefault="006E7CFC" w:rsidP="006E7CFC">
      <w:pPr>
        <w:jc w:val="both"/>
      </w:pPr>
      <w:r w:rsidRPr="006E7CFC">
        <w:t>Di conseguenza, gli elementi costitutivi di questo secondo reato non sono stati accertati nei confronti del signor e della signora B.</w:t>
      </w:r>
    </w:p>
    <w:p w14:paraId="2CE5E70A" w14:textId="77777777" w:rsidR="006E7CFC" w:rsidRPr="006E7CFC" w:rsidRDefault="006E7CFC" w:rsidP="006E7CFC">
      <w:pPr>
        <w:jc w:val="both"/>
      </w:pPr>
      <w:r w:rsidRPr="006E7CFC">
        <w:t>Indipendentemente dalle somme dovute [al ricorrente] a titolo di stipendio e dal pagamento di 50.000 franchi a titolo di tardivo pagamento parziale della retribuzione, il signor B., il cui livello intellettuale e culturale era tale da consentirgli di comprendere pienamente l'illegittimità del suo comportamento, ma che ha permesso che la situazione persistesse, probabilmente per codardia, ha causato, insieme alla signora B., [al ricorrente] un notevole trauma psicologico, per il quale dovrebbe essere riconosciuto un risarcimento di 15.245 euro, come valutato dal tribunale di primo grado.</w:t>
      </w:r>
    </w:p>
    <w:p w14:paraId="0ADD3E55" w14:textId="77777777" w:rsidR="006E7CFC" w:rsidRPr="006E7CFC" w:rsidRDefault="006E7CFC" w:rsidP="006E7CFC">
      <w:pPr>
        <w:jc w:val="both"/>
      </w:pPr>
      <w:r w:rsidRPr="006E7CFC">
        <w:t>45. Il 3 ottobre 2003, il tribunale del lavoro di Parigi ha pronunciato una sentenza a seguito di un ricorso presentato dalla ricorrente. Le ha riconosciuto 31.238 euro (EUR) a titolo di arretrati di stipendio, 1.647 euro a titolo di preavviso e 164 euro a titolo di ferie.   </w:t>
      </w:r>
    </w:p>
    <w:p w14:paraId="64ACF23B" w14:textId="77777777" w:rsidR="006E7CFC" w:rsidRPr="006E7CFC" w:rsidRDefault="006E7CFC" w:rsidP="006E7CFC">
      <w:pPr>
        <w:jc w:val="both"/>
      </w:pPr>
      <w:r w:rsidRPr="006E7CFC">
        <w:t>II. LEGGE APPLICABILE  </w:t>
      </w:r>
    </w:p>
    <w:p w14:paraId="59D5B9D8" w14:textId="77777777" w:rsidR="006E7CFC" w:rsidRPr="006E7CFC" w:rsidRDefault="006E7CFC" w:rsidP="006E7CFC">
      <w:pPr>
        <w:jc w:val="both"/>
      </w:pPr>
      <w:r w:rsidRPr="006E7CFC">
        <w:t>46. </w:t>
      </w:r>
      <w:r w:rsidRPr="006E7CFC">
        <w:rPr>
          <w:b/>
          <w:bCs/>
        </w:rPr>
        <w:t>​​Il codice penale come formulato all'epoca dei fatti</w:t>
      </w:r>
      <w:r w:rsidRPr="006E7CFC">
        <w:t> </w:t>
      </w:r>
      <w:r w:rsidRPr="006E7CFC">
        <w:rPr>
          <w:b/>
          <w:bCs/>
        </w:rPr>
        <w:t> </w:t>
      </w:r>
    </w:p>
    <w:p w14:paraId="77476955" w14:textId="77777777" w:rsidR="006E7CFC" w:rsidRPr="006E7CFC" w:rsidRDefault="006E7CFC" w:rsidP="006E7CFC">
      <w:pPr>
        <w:jc w:val="both"/>
      </w:pPr>
      <w:r w:rsidRPr="006E7CFC">
        <w:rPr>
          <w:b/>
          <w:bCs/>
        </w:rPr>
        <w:t>Articolo 225-13</w:t>
      </w:r>
    </w:p>
    <w:p w14:paraId="09A0E83B" w14:textId="77777777" w:rsidR="006E7CFC" w:rsidRPr="006E7CFC" w:rsidRDefault="006E7CFC" w:rsidP="006E7CFC">
      <w:pPr>
        <w:jc w:val="both"/>
      </w:pPr>
      <w:r w:rsidRPr="006E7CFC">
        <w:t xml:space="preserve">«È punito con due anni di reclusione e con una multa di 500.000 franchi chiunque, approfittando della vulnerabilità o dello stato di dipendenza di tale persona, ottiene da una persona l'esecuzione </w:t>
      </w:r>
      <w:r w:rsidRPr="006E7CFC">
        <w:lastRenderedPageBreak/>
        <w:t>di una prestazione gratuitamente o dietro compenso manifestamente sproporzionato rispetto all'entità del lavoro svolto.» </w:t>
      </w:r>
    </w:p>
    <w:p w14:paraId="7CF9C6C4" w14:textId="77777777" w:rsidR="006E7CFC" w:rsidRPr="006E7CFC" w:rsidRDefault="006E7CFC" w:rsidP="006E7CFC">
      <w:pPr>
        <w:jc w:val="both"/>
      </w:pPr>
      <w:r w:rsidRPr="006E7CFC">
        <w:rPr>
          <w:b/>
          <w:bCs/>
        </w:rPr>
        <w:t>Articolo 225-14</w:t>
      </w:r>
    </w:p>
    <w:p w14:paraId="154B5B45" w14:textId="77777777" w:rsidR="006E7CFC" w:rsidRPr="006E7CFC" w:rsidRDefault="006E7CFC" w:rsidP="006E7CFC">
      <w:pPr>
        <w:jc w:val="both"/>
      </w:pPr>
      <w:r w:rsidRPr="006E7CFC">
        <w:t>«È punito con due anni di reclusione e con una multa di 500.000 franchi chiunque sottopone una persona a condizioni di lavoro o di vita incompatibili con la dignità umana, approfittando della sua vulnerabilità o del suo stato di dipendenza.» </w:t>
      </w:r>
    </w:p>
    <w:p w14:paraId="1F94A14E" w14:textId="77777777" w:rsidR="006E7CFC" w:rsidRPr="006E7CFC" w:rsidRDefault="006E7CFC" w:rsidP="006E7CFC">
      <w:pPr>
        <w:jc w:val="both"/>
      </w:pPr>
      <w:r w:rsidRPr="006E7CFC">
        <w:t>47. </w:t>
      </w:r>
      <w:r w:rsidRPr="006E7CFC">
        <w:rPr>
          <w:b/>
          <w:bCs/>
        </w:rPr>
        <w:t>Il codice penale come modificato dalla legge del 18 marzo 2003  </w:t>
      </w:r>
    </w:p>
    <w:p w14:paraId="23FCF425" w14:textId="77777777" w:rsidR="006E7CFC" w:rsidRPr="006E7CFC" w:rsidRDefault="006E7CFC" w:rsidP="006E7CFC">
      <w:pPr>
        <w:jc w:val="both"/>
      </w:pPr>
      <w:r w:rsidRPr="006E7CFC">
        <w:rPr>
          <w:b/>
          <w:bCs/>
        </w:rPr>
        <w:t>Articolo 225-13</w:t>
      </w:r>
    </w:p>
    <w:p w14:paraId="3A2EFBDE" w14:textId="77777777" w:rsidR="006E7CFC" w:rsidRPr="006E7CFC" w:rsidRDefault="006E7CFC" w:rsidP="006E7CFC">
      <w:pPr>
        <w:jc w:val="both"/>
      </w:pPr>
      <w:r w:rsidRPr="006E7CFC">
        <w:t>“È reato punito con la reclusione fino a cinque anni e con la multa fino a 150.000 euro ottenere da una persona la cui vulnerabilità o il cui stato di dipendenza siano evidenti o di cui il trasgressore sia a conoscenza, l'esecuzione di prestazioni senza retribuzione o in cambio di una retribuzione manifestamente sproporzionata rispetto alla quantità di lavoro svolto.”</w:t>
      </w:r>
    </w:p>
    <w:p w14:paraId="378157FA" w14:textId="77777777" w:rsidR="006E7CFC" w:rsidRPr="006E7CFC" w:rsidRDefault="006E7CFC" w:rsidP="006E7CFC">
      <w:pPr>
        <w:jc w:val="both"/>
      </w:pPr>
      <w:r w:rsidRPr="006E7CFC">
        <w:rPr>
          <w:b/>
          <w:bCs/>
        </w:rPr>
        <w:t>Articolo 225-14</w:t>
      </w:r>
    </w:p>
    <w:p w14:paraId="7818F3F9" w14:textId="77777777" w:rsidR="006E7CFC" w:rsidRPr="006E7CFC" w:rsidRDefault="006E7CFC" w:rsidP="006E7CFC">
      <w:pPr>
        <w:jc w:val="both"/>
      </w:pPr>
      <w:r w:rsidRPr="006E7CFC">
        <w:t>“È reato punito con la reclusione fino a cinque anni e con la multa fino a 150.000 euro sottoporre una persona la cui vulnerabilità o il cui stato di dipendenza siano evidenti o di cui il trasgressore sia a conoscenza a condizioni di lavoro o di vita incompatibili con la dignità umana.” </w:t>
      </w:r>
    </w:p>
    <w:p w14:paraId="705495B5" w14:textId="77777777" w:rsidR="006E7CFC" w:rsidRPr="006E7CFC" w:rsidRDefault="006E7CFC" w:rsidP="006E7CFC">
      <w:pPr>
        <w:jc w:val="both"/>
      </w:pPr>
      <w:r w:rsidRPr="006E7CFC">
        <w:rPr>
          <w:b/>
          <w:bCs/>
        </w:rPr>
        <w:t>Articolo 225-15</w:t>
      </w:r>
    </w:p>
    <w:p w14:paraId="78004380" w14:textId="77777777" w:rsidR="006E7CFC" w:rsidRPr="006E7CFC" w:rsidRDefault="006E7CFC" w:rsidP="006E7CFC">
      <w:pPr>
        <w:jc w:val="both"/>
      </w:pPr>
      <w:r w:rsidRPr="006E7CFC">
        <w:t>“I reati previsti dagli articoli 225-13 e 225-14 sono puniti con sette anni di reclusione e con una multa di 200.000 euro se commessi nei confronti di più persone.</w:t>
      </w:r>
    </w:p>
    <w:p w14:paraId="3D2A845B" w14:textId="77777777" w:rsidR="006E7CFC" w:rsidRPr="006E7CFC" w:rsidRDefault="006E7CFC" w:rsidP="006E7CFC">
      <w:pPr>
        <w:jc w:val="both"/>
      </w:pPr>
      <w:r w:rsidRPr="006E7CFC">
        <w:t>Se commessi nei confronti di un minore, sono puniti con sette anni di reclusione e una multa di 200.000 euro.</w:t>
      </w:r>
    </w:p>
    <w:p w14:paraId="23245E78" w14:textId="77777777" w:rsidR="006E7CFC" w:rsidRPr="006E7CFC" w:rsidRDefault="006E7CFC" w:rsidP="006E7CFC">
      <w:pPr>
        <w:jc w:val="both"/>
      </w:pPr>
      <w:r w:rsidRPr="006E7CFC">
        <w:t>Se sono commessi nei confronti di più persone, compresi uno o più minori, sono puniti con la reclusione fino a dieci anni e con la multa fino a 300.000 euro.”</w:t>
      </w:r>
    </w:p>
    <w:p w14:paraId="4548D90A" w14:textId="77777777" w:rsidR="006E7CFC" w:rsidRPr="006E7CFC" w:rsidRDefault="006E7CFC" w:rsidP="006E7CFC">
      <w:pPr>
        <w:jc w:val="both"/>
      </w:pPr>
      <w:r w:rsidRPr="006E7CFC">
        <w:t>48. </w:t>
      </w:r>
      <w:r w:rsidRPr="006E7CFC">
        <w:rPr>
          <w:b/>
          <w:bCs/>
        </w:rPr>
        <w:t>Rapporto informativo della task force congiunta di inchiesta dell'Assemblea nazionale francese sulle varie forme di schiavitù moderna, depositato il 12 dicembre 2001 </w:t>
      </w:r>
      <w:r w:rsidRPr="006E7CFC">
        <w:t>(estratti)</w:t>
      </w:r>
      <w:r w:rsidRPr="006E7CFC">
        <w:rPr>
          <w:b/>
          <w:bCs/>
        </w:rPr>
        <w:t>  </w:t>
      </w:r>
    </w:p>
    <w:p w14:paraId="16BB3E5C" w14:textId="77777777" w:rsidR="006E7CFC" w:rsidRPr="006E7CFC" w:rsidRDefault="006E7CFC" w:rsidP="006E7CFC">
      <w:pPr>
        <w:jc w:val="both"/>
      </w:pPr>
      <w:r w:rsidRPr="006E7CFC">
        <w:t>“La situazione dei minori, più vulnerabili e che dovrebbero ricevere una protezione speciale a causa della loro età, appare alla task force come altamente preoccupante: ..., i bambini destinati a lavorare come domestici o in laboratori clandestini ... rappresentano facili prede per trafficanti di ogni genere ...</w:t>
      </w:r>
    </w:p>
    <w:p w14:paraId="28540E37" w14:textId="77777777" w:rsidR="006E7CFC" w:rsidRPr="006E7CFC" w:rsidRDefault="006E7CFC" w:rsidP="006E7CFC">
      <w:pPr>
        <w:jc w:val="both"/>
      </w:pPr>
      <w:r w:rsidRPr="006E7CFC">
        <w:t>Quali soluzioni si possono proporre di fronte alla crescita di queste forme di schiavitù? Alcune già esistono, naturalmente. Disponiamo di un arsenale non indifferente di misure punitive. Tuttavia, queste non vengono sempre utilizzate appieno e si rivelano un deterrente insufficiente quando messe alla prova. La polizia e il sistema giudiziario ottengono solo risultati limitati.</w:t>
      </w:r>
    </w:p>
    <w:p w14:paraId="3BB20FB3" w14:textId="77777777" w:rsidR="006E7CFC" w:rsidRPr="006E7CFC" w:rsidRDefault="006E7CFC" w:rsidP="006E7CFC">
      <w:pPr>
        <w:jc w:val="both"/>
      </w:pPr>
      <w:r w:rsidRPr="006E7CFC">
        <w:t>...</w:t>
      </w:r>
    </w:p>
    <w:p w14:paraId="391116F3" w14:textId="77777777" w:rsidR="006E7CFC" w:rsidRPr="006E7CFC" w:rsidRDefault="006E7CFC" w:rsidP="006E7CFC">
      <w:pPr>
        <w:jc w:val="both"/>
      </w:pPr>
      <w:r w:rsidRPr="006E7CFC">
        <w:lastRenderedPageBreak/>
        <w:t>La determinazione dei redattori del nuovo Codice penale a produrre un testo intriso del concetto di diritti umani è particolarmente evidente dalle disposizioni degli articoli 225-13 e 225-14 del Codice, che hanno introdotto nuovi reati rendendo illecito imporre condizioni di lavoro e di vita contrarie alla dignità umana. Come dimostrato dalla relazione esplicativa del disegno di legge iniziale del 1996, lo scopo di tali disposizioni era principalmente quello di combattere i "proprietari terrieri di baraccopoli" o altri imprenditori senza scrupoli che sfruttano sfacciatamente i lavoratori stranieri presenti illegalmente nel Paese.</w:t>
      </w:r>
    </w:p>
    <w:p w14:paraId="5FAA48B5" w14:textId="77777777" w:rsidR="006E7CFC" w:rsidRPr="006E7CFC" w:rsidRDefault="006E7CFC" w:rsidP="006E7CFC">
      <w:pPr>
        <w:jc w:val="both"/>
      </w:pPr>
      <w:r w:rsidRPr="006E7CFC">
        <w:t>...</w:t>
      </w:r>
    </w:p>
    <w:p w14:paraId="22B43F31" w14:textId="77777777" w:rsidR="006E7CFC" w:rsidRPr="006E7CFC" w:rsidRDefault="006E7CFC" w:rsidP="006E7CFC">
      <w:pPr>
        <w:jc w:val="both"/>
      </w:pPr>
      <w:r w:rsidRPr="006E7CFC">
        <w:t>Il concetto, contenuto negli articoli 225-13 e 225-14 del Codice penale, di abuso della vulnerabilità o dello stato di dipendenza di un individuo contiene ambiguità che potrebbero pregiudicarne l'applicazione.</w:t>
      </w:r>
    </w:p>
    <w:p w14:paraId="77E902CE" w14:textId="77777777" w:rsidR="006E7CFC" w:rsidRPr="006E7CFC" w:rsidRDefault="006E7CFC" w:rsidP="006E7CFC">
      <w:pPr>
        <w:jc w:val="both"/>
      </w:pPr>
      <w:r w:rsidRPr="006E7CFC">
        <w:t>...</w:t>
      </w:r>
    </w:p>
    <w:p w14:paraId="411D8808" w14:textId="77777777" w:rsidR="006E7CFC" w:rsidRPr="006E7CFC" w:rsidRDefault="006E7CFC" w:rsidP="006E7CFC">
      <w:pPr>
        <w:jc w:val="both"/>
      </w:pPr>
      <w:r w:rsidRPr="006E7CFC">
        <w:t>Pertanto, omettendo, da un lato, di specificare le possibili categorie di individui definiti vulnerabili e, dall'altro, omettendo di richiedere che la vulnerabilità sia di natura "particolare", il legislatore ha conferito agli articoli 225-13 e 225-14 un ambito di applicazione estremamente ampio, o addirittura vago, che probabilmente comprende circostanze di vulnerabilità o dipendenza di "natura sociale o culturale".</w:t>
      </w:r>
    </w:p>
    <w:p w14:paraId="24F863AA" w14:textId="77777777" w:rsidR="006E7CFC" w:rsidRPr="006E7CFC" w:rsidRDefault="006E7CFC" w:rsidP="006E7CFC">
      <w:pPr>
        <w:jc w:val="both"/>
      </w:pPr>
      <w:r w:rsidRPr="006E7CFC">
        <w:t>...</w:t>
      </w:r>
    </w:p>
    <w:p w14:paraId="6814328B" w14:textId="77777777" w:rsidR="006E7CFC" w:rsidRPr="006E7CFC" w:rsidRDefault="006E7CFC" w:rsidP="006E7CFC">
      <w:pPr>
        <w:jc w:val="both"/>
      </w:pPr>
      <w:r w:rsidRPr="006E7CFC">
        <w:t>L'attuale formulazione del Codice penale, in particolare quella dell'articolo 225-14, è altamente ambigua, poiché richiede, da un lato, che la vittima sia stata sottoposta a condizioni di lavoro o di vita incompatibili con la dignità umana e, dall'altro, che tali condizioni siano state imposte attraverso l'«abuso» della sua vulnerabilità o del suo stato di dipendenza.</w:t>
      </w:r>
    </w:p>
    <w:p w14:paraId="69E3EAC4" w14:textId="77777777" w:rsidR="006E7CFC" w:rsidRPr="006E7CFC" w:rsidRDefault="006E7CFC" w:rsidP="006E7CFC">
      <w:pPr>
        <w:jc w:val="both"/>
      </w:pPr>
      <w:r w:rsidRPr="006E7CFC">
        <w:t>Si può quindi logicamente concludere, come ha affermato il signor Guy Meyer, procuratore aggiunto presso la procura di Parigi, di fronte alla task force, che, "per implicazione inversa... a condizione che non si sia approfittato della vulnerabilità [di un individuo], è lecito minare la dignità umana [...] Minare la dignità umana dovrebbe essere di per sé un reato e, eventualmente, l'abuso della vulnerabilità [di un individuo] o della sua condizione di minore un fattore aggravante".</w:t>
      </w:r>
    </w:p>
    <w:p w14:paraId="67B24D19" w14:textId="77777777" w:rsidR="006E7CFC" w:rsidRPr="006E7CFC" w:rsidRDefault="006E7CFC" w:rsidP="006E7CFC">
      <w:pPr>
        <w:jc w:val="both"/>
      </w:pPr>
      <w:r w:rsidRPr="006E7CFC">
        <w:t>Ciò premesso, e poiché la legge tace, spetta al tribunale stabilire dove termina la portata di tali disposizioni. A questo proposito, l'analisi della giurisprudenza rivela differenze di valutazione che impediscono l'applicazione uniforme della legge in tutta la Francia, poiché, come ha giustamente osservato la Dott.ssa Françoise Favaro rivolgendosi alla task force: "Ci troviamo in una sorta di foschia effimera in cui tutto è rimesso alla valutazione del giudice".</w:t>
      </w:r>
    </w:p>
    <w:p w14:paraId="3E44A780" w14:textId="77777777" w:rsidR="006E7CFC" w:rsidRPr="006E7CFC" w:rsidRDefault="006E7CFC" w:rsidP="006E7CFC">
      <w:pPr>
        <w:jc w:val="both"/>
      </w:pPr>
      <w:r w:rsidRPr="006E7CFC">
        <w:t>...</w:t>
      </w:r>
    </w:p>
    <w:p w14:paraId="6ADAB728" w14:textId="77777777" w:rsidR="006E7CFC" w:rsidRPr="006E7CFC" w:rsidRDefault="006E7CFC" w:rsidP="006E7CFC">
      <w:pPr>
        <w:jc w:val="both"/>
      </w:pPr>
      <w:r w:rsidRPr="006E7CFC">
        <w:t>Ancora più sorprendentemente, il 19 ottobre 2000 la stessa corte d'appello ha rifiutato, in un altro caso, di applicare le disposizioni degli articoli 225-13 e 225-14 a favore di una giovane donna, schiava domestica, nonostante fosse minorenne all'epoca dei fatti. Nella sua sentenza, la corte ha osservato, </w:t>
      </w:r>
      <w:r w:rsidRPr="006E7CFC">
        <w:rPr>
          <w:i/>
          <w:iCs/>
        </w:rPr>
        <w:t>tra l'altro </w:t>
      </w:r>
      <w:r w:rsidRPr="006E7CFC">
        <w:t xml:space="preserve">: "Non è stato dimostrato che la giovane ragazza si trovasse in una posizione di </w:t>
      </w:r>
      <w:r w:rsidRPr="006E7CFC">
        <w:lastRenderedPageBreak/>
        <w:t>vulnerabilità o dipendenza poiché, approfittando della possibilità di andare e venire a piacimento, di contattare la sua famiglia in qualsiasi momento, di lasciare la casa del signor e della signora X per un periodo considerevole e di farvi ritorno senza coercizione, ha, nonostante la sua giovane età, dimostrato un'innegabile forma di indipendenza, e la vulnerabilità non può essere dimostrata semplicemente sulla base del fatto che fosse straniera".</w:t>
      </w:r>
    </w:p>
    <w:p w14:paraId="63B17BAE" w14:textId="77777777" w:rsidR="006E7CFC" w:rsidRPr="006E7CFC" w:rsidRDefault="006E7CFC" w:rsidP="006E7CFC">
      <w:pPr>
        <w:jc w:val="both"/>
      </w:pPr>
      <w:r w:rsidRPr="006E7CFC">
        <w:t>È quindi evidente che, in assenza di criteri giuridici che consentano ai giudici di stabilire se vi sia stato abuso della vulnerabilità o dello stato di dipendenza [di un individuo], le disposizioni degli articoli 225-13 e 225-14 del Codice penale si prestano a interpretazioni diverse, alcune più restrittive di altre.</w:t>
      </w:r>
    </w:p>
    <w:p w14:paraId="2AE2AFAF" w14:textId="77777777" w:rsidR="006E7CFC" w:rsidRPr="006E7CFC" w:rsidRDefault="006E7CFC" w:rsidP="006E7CFC">
      <w:pPr>
        <w:jc w:val="both"/>
      </w:pPr>
      <w:r w:rsidRPr="006E7CFC">
        <w:t>...</w:t>
      </w:r>
    </w:p>
    <w:p w14:paraId="557A8E83" w14:textId="77777777" w:rsidR="006E7CFC" w:rsidRPr="006E7CFC" w:rsidRDefault="006E7CFC" w:rsidP="006E7CFC">
      <w:pPr>
        <w:jc w:val="both"/>
      </w:pPr>
      <w:r w:rsidRPr="006E7CFC">
        <w:t>Sia per quanto riguarda le pene effettive che quelle potenziali, le carenze delle disposizioni sono chiaramente visibili, data la gravità degli elementi fattuali caratteristici della schiavitù moderna.</w:t>
      </w:r>
    </w:p>
    <w:p w14:paraId="59BA0B6F" w14:textId="77777777" w:rsidR="006E7CFC" w:rsidRPr="006E7CFC" w:rsidRDefault="006E7CFC" w:rsidP="006E7CFC">
      <w:pPr>
        <w:jc w:val="both"/>
      </w:pPr>
      <w:r w:rsidRPr="006E7CFC">
        <w:t>...</w:t>
      </w:r>
    </w:p>
    <w:p w14:paraId="515584FA" w14:textId="77777777" w:rsidR="006E7CFC" w:rsidRPr="006E7CFC" w:rsidRDefault="006E7CFC" w:rsidP="006E7CFC">
      <w:pPr>
        <w:jc w:val="both"/>
      </w:pPr>
      <w:r w:rsidRPr="006E7CFC">
        <w:t>Tenendo presente, da un lato, lo status costituzionale dei valori tutelati dagli articoli 225-13 e 225-14 del Codice penale e, dall'altro, la gravità dei reati in tali casi, l'irrilevanza delle sanzioni inflitte ai colpevoli è sorprendente e solleva interrogativi sulle priorità del sistema giudiziario penale francese.</w:t>
      </w:r>
    </w:p>
    <w:p w14:paraId="58DB5AFD" w14:textId="77777777" w:rsidR="006E7CFC" w:rsidRPr="006E7CFC" w:rsidRDefault="006E7CFC" w:rsidP="006E7CFC">
      <w:pPr>
        <w:jc w:val="both"/>
      </w:pPr>
      <w:r w:rsidRPr="006E7CFC">
        <w:t>...</w:t>
      </w:r>
    </w:p>
    <w:p w14:paraId="723E7286" w14:textId="77777777" w:rsidR="006E7CFC" w:rsidRPr="006E7CFC" w:rsidRDefault="006E7CFC" w:rsidP="006E7CFC">
      <w:pPr>
        <w:jc w:val="both"/>
      </w:pPr>
      <w:r w:rsidRPr="006E7CFC">
        <w:t>I minori i cui casi la task force ha dovuto esaminare sono minori rimasti intrappolati o a rischio di esserlo, sia per sfruttamento sessuale che per lavoro. Il più delle volte si tratta di immigrati clandestini.</w:t>
      </w:r>
    </w:p>
    <w:p w14:paraId="60BC7DFB" w14:textId="77777777" w:rsidR="006E7CFC" w:rsidRPr="006E7CFC" w:rsidRDefault="006E7CFC" w:rsidP="006E7CFC">
      <w:pPr>
        <w:jc w:val="both"/>
      </w:pPr>
      <w:r w:rsidRPr="006E7CFC">
        <w:t>49. </w:t>
      </w:r>
      <w:r w:rsidRPr="006E7CFC">
        <w:rPr>
          <w:b/>
          <w:bCs/>
        </w:rPr>
        <w:t>Documenti dell'Assemblea parlamentare del Consiglio d'Europa</w:t>
      </w:r>
      <w:r w:rsidRPr="006E7CFC">
        <w:t> </w:t>
      </w:r>
      <w:r w:rsidRPr="006E7CFC">
        <w:rPr>
          <w:b/>
          <w:bCs/>
        </w:rPr>
        <w:t> </w:t>
      </w:r>
    </w:p>
    <w:p w14:paraId="3A39F767" w14:textId="77777777" w:rsidR="006E7CFC" w:rsidRPr="006E7CFC" w:rsidRDefault="006E7CFC" w:rsidP="006E7CFC">
      <w:pPr>
        <w:jc w:val="both"/>
      </w:pPr>
      <w:r w:rsidRPr="006E7CFC">
        <w:rPr>
          <w:i/>
          <w:iCs/>
        </w:rPr>
        <w:t>(a) Relazione del Comitato per le pari opportunità tra donne e uomini, del 17 maggio 2001 (estratto)  </w:t>
      </w:r>
    </w:p>
    <w:p w14:paraId="5CD4EF80" w14:textId="77777777" w:rsidR="006E7CFC" w:rsidRPr="006E7CFC" w:rsidRDefault="006E7CFC" w:rsidP="006E7CFC">
      <w:pPr>
        <w:jc w:val="both"/>
      </w:pPr>
      <w:r w:rsidRPr="006E7CFC">
        <w:t>In Francia, dalla sua fondazione nel 1994, il Comitato contro la schiavitù moderna (CCEM) ha preso in carico i casi di oltre 200 vittime di schiavitù domestica, provenienti per lo più dall'Africa occidentale (Costa d'Avorio, Togo, Benin), ma anche da Madagascar, Marocco, India, Sri Lanka e Filippine. La maggior parte delle vittime erano donne (95%). Un terzo è arrivato in Francia prima di aver raggiunto la maggiore età e la maggior parte di loro ha subito violenze fisiche o abusi sessuali.</w:t>
      </w:r>
    </w:p>
    <w:p w14:paraId="6FF4ED78" w14:textId="77777777" w:rsidR="006E7CFC" w:rsidRPr="006E7CFC" w:rsidRDefault="006E7CFC" w:rsidP="006E7CFC">
      <w:pPr>
        <w:jc w:val="both"/>
      </w:pPr>
      <w:r w:rsidRPr="006E7CFC">
        <w:t>I datori di lavoro provenivano principalmente dall'Africa occidentale o dal Medio Oriente. Il 20% erano cittadini francesi. Il 20% godeva dell'immunità penale, tra cui un diplomatico italiano e cinque diplomatici francesi in missione all'estero. Le vittime che lavoravano per i diplomatici provenivano principalmente da India, Indonesia, Filippine e Sri Lanka. Si stima che in Francia vi siano diverse migliaia di vittime di schiavitù domestica.</w:t>
      </w:r>
    </w:p>
    <w:p w14:paraId="22470AFC" w14:textId="77777777" w:rsidR="006E7CFC" w:rsidRPr="006E7CFC" w:rsidRDefault="006E7CFC" w:rsidP="006E7CFC">
      <w:pPr>
        <w:jc w:val="both"/>
      </w:pPr>
      <w:r w:rsidRPr="006E7CFC">
        <w:rPr>
          <w:i/>
          <w:iCs/>
        </w:rPr>
        <w:t>(b) Raccomandazione 1523 (2001), adottata il 26 giugno 2001  </w:t>
      </w:r>
    </w:p>
    <w:p w14:paraId="1A7D18BA" w14:textId="77777777" w:rsidR="006E7CFC" w:rsidRPr="006E7CFC" w:rsidRDefault="006E7CFC" w:rsidP="006E7CFC">
      <w:pPr>
        <w:jc w:val="both"/>
      </w:pPr>
      <w:r w:rsidRPr="006E7CFC">
        <w:t>“1. Negli ultimi anni è comparsa in Europa una nuova forma di schiavitù, la schiavitù domestica. È stato accertato che ogni anno nel mondo vengono vendute oltre 4 milioni di donne.  </w:t>
      </w:r>
    </w:p>
    <w:p w14:paraId="4C2A4D5E" w14:textId="77777777" w:rsidR="006E7CFC" w:rsidRPr="006E7CFC" w:rsidRDefault="006E7CFC" w:rsidP="006E7CFC">
      <w:pPr>
        <w:jc w:val="both"/>
      </w:pPr>
      <w:r w:rsidRPr="006E7CFC">
        <w:lastRenderedPageBreak/>
        <w:t>2. A questo proposito, l'Assemblea ricorda e ribadisce l'articolo 4, paragrafo 1 della Convenzione per la salvaguardia dei diritti dell'uomo e delle libertà fondamentali (CEDU), che proibisce la schiavitù e la servitù, nonché la definizione di schiavitù derivante dai pareri e dalle sentenze della Commissione europea dei diritti dell'uomo e della Corte europea dei diritti dell'uomo.  </w:t>
      </w:r>
    </w:p>
    <w:p w14:paraId="0DE6F907" w14:textId="77777777" w:rsidR="006E7CFC" w:rsidRPr="006E7CFC" w:rsidRDefault="006E7CFC" w:rsidP="006E7CFC">
      <w:pPr>
        <w:jc w:val="both"/>
      </w:pPr>
      <w:r w:rsidRPr="006E7CFC">
        <w:t>3. L'Assemblea ricorda inoltre l'articolo 3 della CEDU, che stabilisce che nessuno può essere sottoposto a tortura né a pene o trattamenti inumani o degradanti, e l'articolo 6, che proclama il diritto di accesso a un tribunale in materia civile e penale, compresi i casi in cui il datore di lavoro gode dell'immunità giurisdizionale.  </w:t>
      </w:r>
    </w:p>
    <w:p w14:paraId="70EC27E7" w14:textId="77777777" w:rsidR="006E7CFC" w:rsidRPr="006E7CFC" w:rsidRDefault="006E7CFC" w:rsidP="006E7CFC">
      <w:pPr>
        <w:jc w:val="both"/>
      </w:pPr>
      <w:r w:rsidRPr="006E7CFC">
        <w:t>...</w:t>
      </w:r>
    </w:p>
    <w:p w14:paraId="2EC3C91F" w14:textId="77777777" w:rsidR="006E7CFC" w:rsidRPr="006E7CFC" w:rsidRDefault="006E7CFC" w:rsidP="006E7CFC">
      <w:pPr>
        <w:jc w:val="both"/>
      </w:pPr>
      <w:r w:rsidRPr="006E7CFC">
        <w:t>5. Rileva che i passaporti delle vittime vengono sistematicamente confiscati, lasciandole in una situazione di totale vulnerabilità nei confronti dei loro datori di lavoro e talvolta in una situazione al limite della reclusione, dove sono sottoposte a violenza fisica e/o sessuale.  </w:t>
      </w:r>
    </w:p>
    <w:p w14:paraId="28077C03" w14:textId="77777777" w:rsidR="006E7CFC" w:rsidRPr="006E7CFC" w:rsidRDefault="006E7CFC" w:rsidP="006E7CFC">
      <w:pPr>
        <w:jc w:val="both"/>
      </w:pPr>
      <w:r w:rsidRPr="006E7CFC">
        <w:t>6. La maggior parte delle vittime di questa nuova forma di schiavitù si trova in una situazione illegale, essendo stata reclutata da agenzie e avendo preso in prestito denaro per pagarsi il viaggio.  </w:t>
      </w:r>
    </w:p>
    <w:p w14:paraId="422D3916" w14:textId="77777777" w:rsidR="006E7CFC" w:rsidRPr="006E7CFC" w:rsidRDefault="006E7CFC" w:rsidP="006E7CFC">
      <w:pPr>
        <w:jc w:val="both"/>
      </w:pPr>
      <w:r w:rsidRPr="006E7CFC">
        <w:t>7. L'isolamento fisico ed emotivo in cui si trovano le vittime, unito alla paura del mondo esterno, provoca problemi psicologici che persistono anche dopo il rilascio e le lasciano completamente disorientate.  </w:t>
      </w:r>
    </w:p>
    <w:p w14:paraId="5BF3CB18" w14:textId="77777777" w:rsidR="006E7CFC" w:rsidRPr="006E7CFC" w:rsidRDefault="006E7CFC" w:rsidP="006E7CFC">
      <w:pPr>
        <w:jc w:val="both"/>
      </w:pPr>
      <w:r w:rsidRPr="006E7CFC">
        <w:t>...</w:t>
      </w:r>
    </w:p>
    <w:p w14:paraId="32C34A36" w14:textId="77777777" w:rsidR="006E7CFC" w:rsidRPr="006E7CFC" w:rsidRDefault="006E7CFC" w:rsidP="006E7CFC">
      <w:pPr>
        <w:jc w:val="both"/>
      </w:pPr>
      <w:r w:rsidRPr="006E7CFC">
        <w:t>9. Si rammarica che nessuno degli Stati membri del Consiglio d'Europa consideri espressamente la schiavitù domestica un reato nei propri codici penali.  </w:t>
      </w:r>
    </w:p>
    <w:p w14:paraId="0902C214" w14:textId="77777777" w:rsidR="006E7CFC" w:rsidRPr="006E7CFC" w:rsidRDefault="006E7CFC" w:rsidP="006E7CFC">
      <w:pPr>
        <w:jc w:val="both"/>
      </w:pPr>
      <w:r w:rsidRPr="006E7CFC">
        <w:t>10. Raccomanda pertanto al Comitato dei Ministri di chiedere ai governi degli Stati membri di:  </w:t>
      </w:r>
    </w:p>
    <w:p w14:paraId="49DC1F2E" w14:textId="77777777" w:rsidR="006E7CFC" w:rsidRPr="006E7CFC" w:rsidRDefault="006E7CFC" w:rsidP="006E7CFC">
      <w:pPr>
        <w:jc w:val="both"/>
      </w:pPr>
      <w:r w:rsidRPr="006E7CFC">
        <w:t>i. rendere la schiavitù e la tratta di esseri umani, nonché il matrimonio forzato, reati nei loro codici penali;  </w:t>
      </w:r>
    </w:p>
    <w:p w14:paraId="1CA4FE1B" w14:textId="77777777" w:rsidR="006E7CFC" w:rsidRPr="006E7CFC" w:rsidRDefault="006E7CFC" w:rsidP="006E7CFC">
      <w:pPr>
        <w:jc w:val="both"/>
      </w:pPr>
      <w:r w:rsidRPr="006E7CFC">
        <w:t>ii. rafforzare i controlli alle frontiere e armonizzare le politiche di cooperazione di polizia, in particolare per quanto riguarda i minori;  </w:t>
      </w:r>
    </w:p>
    <w:p w14:paraId="00B515D9" w14:textId="77777777" w:rsidR="006E7CFC" w:rsidRPr="006E7CFC" w:rsidRDefault="006E7CFC" w:rsidP="006E7CFC">
      <w:pPr>
        <w:jc w:val="both"/>
      </w:pPr>
      <w:r w:rsidRPr="006E7CFC">
        <w:t>...</w:t>
      </w:r>
    </w:p>
    <w:p w14:paraId="3E13D69C" w14:textId="77777777" w:rsidR="006E7CFC" w:rsidRPr="006E7CFC" w:rsidRDefault="006E7CFC" w:rsidP="006E7CFC">
      <w:pPr>
        <w:jc w:val="both"/>
      </w:pPr>
      <w:r w:rsidRPr="006E7CFC">
        <w:t>vi. proteggere i diritti delle vittime di schiavitù domestica:  </w:t>
      </w:r>
    </w:p>
    <w:p w14:paraId="1A1D0208" w14:textId="77777777" w:rsidR="006E7CFC" w:rsidRPr="006E7CFC" w:rsidRDefault="006E7CFC" w:rsidP="006E7CFC">
      <w:pPr>
        <w:jc w:val="both"/>
      </w:pPr>
      <w:r w:rsidRPr="006E7CFC">
        <w:t>a. generalizzare il rilascio di permessi di soggiorno temporanei e rinnovabili per motivi umanitari;  </w:t>
      </w:r>
    </w:p>
    <w:p w14:paraId="65E3A64D" w14:textId="77777777" w:rsidR="006E7CFC" w:rsidRPr="006E7CFC" w:rsidRDefault="006E7CFC" w:rsidP="006E7CFC">
      <w:pPr>
        <w:jc w:val="both"/>
      </w:pPr>
      <w:r w:rsidRPr="006E7CFC">
        <w:t>b. adottare misure per fornire loro protezione e assistenza sociale, amministrativa e legale;  </w:t>
      </w:r>
    </w:p>
    <w:p w14:paraId="696FB70E" w14:textId="77777777" w:rsidR="006E7CFC" w:rsidRPr="006E7CFC" w:rsidRDefault="006E7CFC" w:rsidP="006E7CFC">
      <w:pPr>
        <w:jc w:val="both"/>
      </w:pPr>
      <w:r w:rsidRPr="006E7CFC">
        <w:t>c. adottare misure per la loro riabilitazione e reintegrazione, compresa la creazione di centri di assistenza, tra gli altri, alle vittime di schiavitù domestica;  </w:t>
      </w:r>
    </w:p>
    <w:p w14:paraId="7DCE812E" w14:textId="77777777" w:rsidR="006E7CFC" w:rsidRPr="006E7CFC" w:rsidRDefault="006E7CFC" w:rsidP="006E7CFC">
      <w:pPr>
        <w:jc w:val="both"/>
      </w:pPr>
      <w:r w:rsidRPr="006E7CFC">
        <w:t>d. sviluppare programmi specifici per la loro protezione;  </w:t>
      </w:r>
    </w:p>
    <w:p w14:paraId="763EAD88" w14:textId="77777777" w:rsidR="006E7CFC" w:rsidRPr="006E7CFC" w:rsidRDefault="006E7CFC" w:rsidP="006E7CFC">
      <w:pPr>
        <w:jc w:val="both"/>
      </w:pPr>
      <w:r w:rsidRPr="006E7CFC">
        <w:t>e. aumentare i termini di prescrizione per le vittime di reati di schiavitù;  </w:t>
      </w:r>
    </w:p>
    <w:p w14:paraId="5D9422EE" w14:textId="77777777" w:rsidR="006E7CFC" w:rsidRPr="006E7CFC" w:rsidRDefault="006E7CFC" w:rsidP="006E7CFC">
      <w:pPr>
        <w:jc w:val="both"/>
      </w:pPr>
      <w:r w:rsidRPr="006E7CFC">
        <w:lastRenderedPageBreak/>
        <w:t>f. istituire fondi di risarcimento per le vittime della schiavitù;  </w:t>
      </w:r>
    </w:p>
    <w:p w14:paraId="170CED4A" w14:textId="77777777" w:rsidR="006E7CFC" w:rsidRPr="006E7CFC" w:rsidRDefault="006E7CFC" w:rsidP="006E7CFC">
      <w:pPr>
        <w:jc w:val="both"/>
      </w:pPr>
      <w:r w:rsidRPr="006E7CFC">
        <w:t>...”</w:t>
      </w:r>
    </w:p>
    <w:p w14:paraId="65F7E7C7" w14:textId="77777777" w:rsidR="006E7CFC" w:rsidRPr="006E7CFC" w:rsidRDefault="006E7CFC" w:rsidP="006E7CFC">
      <w:pPr>
        <w:jc w:val="both"/>
      </w:pPr>
      <w:r w:rsidRPr="006E7CFC">
        <w:rPr>
          <w:i/>
          <w:iCs/>
        </w:rPr>
        <w:t>(c) Raccomandazione 1663 (2004), adottata il 22 giugno 2004  </w:t>
      </w:r>
    </w:p>
    <w:p w14:paraId="7283AA76" w14:textId="77777777" w:rsidR="006E7CFC" w:rsidRPr="006E7CFC" w:rsidRDefault="006E7CFC" w:rsidP="006E7CFC">
      <w:pPr>
        <w:jc w:val="both"/>
      </w:pPr>
      <w:r w:rsidRPr="006E7CFC">
        <w:t>1. L'Assemblea parlamentare è costernata dal fatto che la schiavitù continui a esistere in Europa nel XXI secolo. Sebbene, ufficialmente, la schiavitù sia stata abolita oltre 150 anni fa, migliaia di persone sono ancora tenute in schiavitù in Europa, trattate come oggetti, umiliate e abusate. Gli schiavi moderni, come i loro omologhi di un tempo, sono costretti a lavorare (mediante minacce fisiche o mentali) senza alcuna o scarsa ricompensa economica. Sono fisicamente costretti o sottoposti ad altre limitazioni alla loro libertà di movimento e sono trattati in modo degradante e disumano.  </w:t>
      </w:r>
    </w:p>
    <w:p w14:paraId="402F63A8" w14:textId="77777777" w:rsidR="006E7CFC" w:rsidRPr="006E7CFC" w:rsidRDefault="006E7CFC" w:rsidP="006E7CFC">
      <w:pPr>
        <w:jc w:val="both"/>
      </w:pPr>
      <w:r w:rsidRPr="006E7CFC">
        <w:t>2. Le schiave di oggi sono prevalentemente donne e di solito lavorano in case private, iniziando come collaboratrici domestiche migranti, ragazze alla pari o "spose per corrispondenza". La maggior parte è arrivata volontariamente, cercando di migliorare la propria situazione o di sfuggire alla povertà e alle difficoltà, ma alcune sono state ingannate dai loro datori di lavoro, agenzie o altri intermediari, sono state vincolate da debiti e persino vittime di tratta. Una volta lavoratrici (o sposate con un "marito consumatore"), tuttavia, sono vulnerabili e isolate. Questo crea ampie opportunità per datori di lavoro o mariti violenti di costringerle alla schiavitù domestica.  </w:t>
      </w:r>
    </w:p>
    <w:p w14:paraId="750F085B" w14:textId="77777777" w:rsidR="006E7CFC" w:rsidRPr="006E7CFC" w:rsidRDefault="006E7CFC" w:rsidP="006E7CFC">
      <w:pPr>
        <w:jc w:val="both"/>
      </w:pPr>
      <w:r w:rsidRPr="006E7CFC">
        <w:t>...</w:t>
      </w:r>
    </w:p>
    <w:p w14:paraId="5CC09394" w14:textId="77777777" w:rsidR="006E7CFC" w:rsidRPr="006E7CFC" w:rsidRDefault="006E7CFC" w:rsidP="006E7CFC">
      <w:pPr>
        <w:jc w:val="both"/>
      </w:pPr>
      <w:r w:rsidRPr="006E7CFC">
        <w:t>5. Il Consiglio d'Europa deve avere tolleranza zero nei confronti della schiavitù. In quanto organizzazione internazionale che difende i diritti umani, è dovere del Consiglio d'Europa guidare la lotta contro ogni forma di schiavitù e tratta di esseri umani. L'Organizzazione e i suoi Stati membri devono promuovere e proteggere i diritti umani delle vittime e garantire che gli autori del reato di schiavitù domestica siano assicurati alla giustizia, affinché la schiavitù possa essere finalmente eliminata dall'Europa.  </w:t>
      </w:r>
    </w:p>
    <w:p w14:paraId="62EA6CCE" w14:textId="77777777" w:rsidR="006E7CFC" w:rsidRPr="006E7CFC" w:rsidRDefault="006E7CFC" w:rsidP="006E7CFC">
      <w:pPr>
        <w:jc w:val="both"/>
      </w:pPr>
      <w:r w:rsidRPr="006E7CFC">
        <w:t>6. L'Assemblea raccomanda pertanto al Comitato dei Ministri:  </w:t>
      </w:r>
    </w:p>
    <w:p w14:paraId="565D0515" w14:textId="77777777" w:rsidR="006E7CFC" w:rsidRPr="006E7CFC" w:rsidRDefault="006E7CFC" w:rsidP="006E7CFC">
      <w:pPr>
        <w:jc w:val="both"/>
      </w:pPr>
      <w:r w:rsidRPr="006E7CFC">
        <w:t>i. </w:t>
      </w:r>
      <w:r w:rsidRPr="006E7CFC">
        <w:rPr>
          <w:i/>
          <w:iCs/>
        </w:rPr>
        <w:t>in generale:</w:t>
      </w:r>
      <w:r w:rsidRPr="006E7CFC">
        <w:t>  </w:t>
      </w:r>
    </w:p>
    <w:p w14:paraId="4998E632" w14:textId="77777777" w:rsidR="006E7CFC" w:rsidRPr="006E7CFC" w:rsidRDefault="006E7CFC" w:rsidP="006E7CFC">
      <w:pPr>
        <w:jc w:val="both"/>
      </w:pPr>
      <w:r w:rsidRPr="006E7CFC">
        <w:rPr>
          <w:i/>
          <w:iCs/>
        </w:rPr>
        <w:t>a </w:t>
      </w:r>
      <w:r w:rsidRPr="006E7CFC">
        <w:t>. portare rapidamente a conclusione i negoziati sul progetto di convenzione del Consiglio d'Europa sulla lotta contro la tratta di esseri umani;  </w:t>
      </w:r>
    </w:p>
    <w:p w14:paraId="09C3F7C4" w14:textId="77777777" w:rsidR="006E7CFC" w:rsidRPr="006E7CFC" w:rsidRDefault="006E7CFC" w:rsidP="006E7CFC">
      <w:pPr>
        <w:jc w:val="both"/>
      </w:pPr>
      <w:r w:rsidRPr="006E7CFC">
        <w:rPr>
          <w:i/>
          <w:iCs/>
        </w:rPr>
        <w:t>b </w:t>
      </w:r>
      <w:r w:rsidRPr="006E7CFC">
        <w:t>. incoraggiare gli Stati membri a combattere con urgenza la schiavitù domestica in tutte le sue forme, assicurando che tenere una persona in qualsiasi forma di schiavitù sia un reato penale in tutti gli Stati membri;  </w:t>
      </w:r>
    </w:p>
    <w:p w14:paraId="3E04C763" w14:textId="77777777" w:rsidR="006E7CFC" w:rsidRPr="006E7CFC" w:rsidRDefault="006E7CFC" w:rsidP="006E7CFC">
      <w:pPr>
        <w:jc w:val="both"/>
      </w:pPr>
      <w:r w:rsidRPr="006E7CFC">
        <w:rPr>
          <w:i/>
          <w:iCs/>
        </w:rPr>
        <w:t>c </w:t>
      </w:r>
      <w:r w:rsidRPr="006E7CFC">
        <w:t>. garantire che le autorità competenti degli Stati membri indaghino in modo approfondito, tempestivo e imparziale su tutte le accuse di qualsiasi forma di schiavitù e perseguano i responsabili;  </w:t>
      </w:r>
    </w:p>
    <w:p w14:paraId="5861E8BF" w14:textId="77777777" w:rsidR="006E7CFC" w:rsidRPr="006E7CFC" w:rsidRDefault="006E7CFC" w:rsidP="006E7CFC">
      <w:pPr>
        <w:jc w:val="both"/>
      </w:pPr>
      <w:r w:rsidRPr="006E7CFC">
        <w:t>...</w:t>
      </w:r>
    </w:p>
    <w:p w14:paraId="3F2AC1AD" w14:textId="77777777" w:rsidR="006E7CFC" w:rsidRPr="006E7CFC" w:rsidRDefault="006E7CFC" w:rsidP="006E7CFC">
      <w:pPr>
        <w:jc w:val="both"/>
      </w:pPr>
      <w:r w:rsidRPr="006E7CFC">
        <w:t>ii. </w:t>
      </w:r>
      <w:r w:rsidRPr="006E7CFC">
        <w:rPr>
          <w:i/>
          <w:iCs/>
        </w:rPr>
        <w:t>per quanto riguarda la servitù domestica:</w:t>
      </w:r>
      <w:r w:rsidRPr="006E7CFC">
        <w:t>  </w:t>
      </w:r>
    </w:p>
    <w:p w14:paraId="6654DEF7" w14:textId="77777777" w:rsidR="006E7CFC" w:rsidRPr="006E7CFC" w:rsidRDefault="006E7CFC" w:rsidP="006E7CFC">
      <w:pPr>
        <w:jc w:val="both"/>
      </w:pPr>
      <w:r w:rsidRPr="006E7CFC">
        <w:rPr>
          <w:i/>
          <w:iCs/>
        </w:rPr>
        <w:lastRenderedPageBreak/>
        <w:t>a </w:t>
      </w:r>
      <w:r w:rsidRPr="006E7CFC">
        <w:t>. elaborare una carta dei diritti per i lavoratori domestici, come già raccomandato nella Raccomandazione 1523 (2001) sulla schiavitù domestica. Tale carta, che potrebbe assumere la forma di una raccomandazione del Comitato dei Ministri o persino di una convenzione, dovrebbe garantire almeno i seguenti diritti ai lavoratori domestici:  </w:t>
      </w:r>
    </w:p>
    <w:p w14:paraId="60FA90C1" w14:textId="77777777" w:rsidR="006E7CFC" w:rsidRPr="006E7CFC" w:rsidRDefault="006E7CFC" w:rsidP="006E7CFC">
      <w:pPr>
        <w:jc w:val="both"/>
      </w:pPr>
      <w:r w:rsidRPr="006E7CFC">
        <w:t>– il riconoscimento del lavoro domestico nelle abitazioni private come "vero lavoro", vale a dire al quale si applicano pieni diritti lavorativi e protezione sociale, compreso il salario minimo (ove esistente), l'indennità di malattia e maternità nonché i diritti pensionistici;  </w:t>
      </w:r>
    </w:p>
    <w:p w14:paraId="079032F4" w14:textId="77777777" w:rsidR="006E7CFC" w:rsidRPr="006E7CFC" w:rsidRDefault="006E7CFC" w:rsidP="006E7CFC">
      <w:pPr>
        <w:jc w:val="both"/>
      </w:pPr>
      <w:r w:rsidRPr="006E7CFC">
        <w:t>– il diritto a un contratto di lavoro legalmente vincolante che stabilisca salari minimi, orari massimi e responsabilità;  </w:t>
      </w:r>
    </w:p>
    <w:p w14:paraId="41FF7143" w14:textId="77777777" w:rsidR="006E7CFC" w:rsidRPr="006E7CFC" w:rsidRDefault="006E7CFC" w:rsidP="006E7CFC">
      <w:pPr>
        <w:jc w:val="both"/>
      </w:pPr>
      <w:r w:rsidRPr="006E7CFC">
        <w:t>– il diritto all’assicurazione sanitaria;  </w:t>
      </w:r>
    </w:p>
    <w:p w14:paraId="7FA90123" w14:textId="77777777" w:rsidR="006E7CFC" w:rsidRPr="006E7CFC" w:rsidRDefault="006E7CFC" w:rsidP="006E7CFC">
      <w:pPr>
        <w:jc w:val="both"/>
      </w:pPr>
      <w:r w:rsidRPr="006E7CFC">
        <w:t>– il diritto alla vita familiare, compresi i diritti alla salute, all’istruzione e ai diritti sociali per i figli delle lavoratrici domestiche;  </w:t>
      </w:r>
    </w:p>
    <w:p w14:paraId="119D87D7" w14:textId="77777777" w:rsidR="006E7CFC" w:rsidRPr="006E7CFC" w:rsidRDefault="006E7CFC" w:rsidP="006E7CFC">
      <w:pPr>
        <w:jc w:val="both"/>
      </w:pPr>
      <w:r w:rsidRPr="006E7CFC">
        <w:t>– il diritto al tempo libero e al tempo personale;  </w:t>
      </w:r>
    </w:p>
    <w:p w14:paraId="6370FAC6" w14:textId="77777777" w:rsidR="006E7CFC" w:rsidRPr="006E7CFC" w:rsidRDefault="006E7CFC" w:rsidP="006E7CFC">
      <w:pPr>
        <w:jc w:val="both"/>
      </w:pPr>
      <w:r w:rsidRPr="006E7CFC">
        <w:t>– il diritto dei lavoratori domestici migranti a uno status di immigrazione indipendente da qualsiasi datore di lavoro, il diritto di cambiare datore di lavoro e di viaggiare all'interno del paese ospitante e tra tutti i paesi dell'Unione europea e il diritto al riconoscimento delle qualifiche, della formazione e dell'esperienza acquisite nel paese di origine;  </w:t>
      </w:r>
    </w:p>
    <w:p w14:paraId="00517C90" w14:textId="77777777" w:rsidR="006E7CFC" w:rsidRPr="006E7CFC" w:rsidRDefault="006E7CFC" w:rsidP="006E7CFC">
      <w:pPr>
        <w:jc w:val="both"/>
      </w:pPr>
      <w:r w:rsidRPr="006E7CFC">
        <w:t>...”</w:t>
      </w:r>
    </w:p>
    <w:p w14:paraId="512452BD" w14:textId="77777777" w:rsidR="006E7CFC" w:rsidRPr="006E7CFC" w:rsidRDefault="006E7CFC" w:rsidP="006E7CFC">
      <w:pPr>
        <w:jc w:val="both"/>
      </w:pPr>
      <w:r w:rsidRPr="006E7CFC">
        <w:t>50. </w:t>
      </w:r>
      <w:r w:rsidRPr="006E7CFC">
        <w:rPr>
          <w:b/>
          <w:bCs/>
        </w:rPr>
        <w:t>Convenzione del Consiglio d'Europa sulla lotta contro la tratta di esseri umani, aperta alla firma il 16 maggio 2005 </w:t>
      </w:r>
      <w:r w:rsidRPr="006E7CFC">
        <w:t>(estratti)  </w:t>
      </w:r>
    </w:p>
    <w:p w14:paraId="7986FFDD" w14:textId="77777777" w:rsidR="006E7CFC" w:rsidRPr="006E7CFC" w:rsidRDefault="006E7CFC" w:rsidP="006E7CFC">
      <w:pPr>
        <w:jc w:val="both"/>
      </w:pPr>
      <w:r w:rsidRPr="006E7CFC">
        <w:t> </w:t>
      </w:r>
    </w:p>
    <w:p w14:paraId="4B12BC64" w14:textId="77777777" w:rsidR="006E7CFC" w:rsidRPr="006E7CFC" w:rsidRDefault="006E7CFC" w:rsidP="006E7CFC">
      <w:pPr>
        <w:jc w:val="both"/>
      </w:pPr>
      <w:r w:rsidRPr="006E7CFC">
        <w:rPr>
          <w:b/>
          <w:bCs/>
        </w:rPr>
        <w:t>Preambolo</w:t>
      </w:r>
    </w:p>
    <w:p w14:paraId="28D232F4" w14:textId="77777777" w:rsidR="006E7CFC" w:rsidRPr="006E7CFC" w:rsidRDefault="006E7CFC" w:rsidP="006E7CFC">
      <w:pPr>
        <w:jc w:val="both"/>
      </w:pPr>
      <w:r w:rsidRPr="006E7CFC">
        <w:t>“...</w:t>
      </w:r>
    </w:p>
    <w:p w14:paraId="22F98053" w14:textId="77777777" w:rsidR="006E7CFC" w:rsidRPr="006E7CFC" w:rsidRDefault="006E7CFC" w:rsidP="006E7CFC">
      <w:pPr>
        <w:jc w:val="both"/>
      </w:pPr>
      <w:r w:rsidRPr="006E7CFC">
        <w:t>Considerando che la tratta di esseri umani può comportare la schiavitù per le vittime;</w:t>
      </w:r>
    </w:p>
    <w:p w14:paraId="58BCC725" w14:textId="77777777" w:rsidR="006E7CFC" w:rsidRPr="006E7CFC" w:rsidRDefault="006E7CFC" w:rsidP="006E7CFC">
      <w:pPr>
        <w:jc w:val="both"/>
      </w:pPr>
      <w:r w:rsidRPr="006E7CFC">
        <w:t>Considerando che il rispetto dei diritti delle vittime, la loro protezione e la lotta alla tratta di esseri umani devono essere obiettivi primari;</w:t>
      </w:r>
    </w:p>
    <w:p w14:paraId="5D30ABDC" w14:textId="77777777" w:rsidR="006E7CFC" w:rsidRPr="006E7CFC" w:rsidRDefault="006E7CFC" w:rsidP="006E7CFC">
      <w:pPr>
        <w:jc w:val="both"/>
      </w:pPr>
      <w:r w:rsidRPr="006E7CFC">
        <w:t>Considerando che tutte le azioni o iniziative contro la tratta di esseri umani devono essere non discriminatorie e tenere conto della parità di genere nonché di un approccio basato sui diritti dei minori;</w:t>
      </w:r>
    </w:p>
    <w:p w14:paraId="2F3DF376" w14:textId="77777777" w:rsidR="006E7CFC" w:rsidRPr="006E7CFC" w:rsidRDefault="006E7CFC" w:rsidP="006E7CFC">
      <w:pPr>
        <w:jc w:val="both"/>
      </w:pPr>
      <w:r w:rsidRPr="006E7CFC">
        <w:t>...</w:t>
      </w:r>
    </w:p>
    <w:p w14:paraId="76B1B5DA" w14:textId="77777777" w:rsidR="006E7CFC" w:rsidRPr="006E7CFC" w:rsidRDefault="006E7CFC" w:rsidP="006E7CFC">
      <w:pPr>
        <w:jc w:val="both"/>
      </w:pPr>
      <w:r w:rsidRPr="006E7CFC">
        <w:t>Tenendo presenti le seguenti raccomandazioni dell'Assemblea parlamentare del Consiglio d'Europa: ... 1663 (2004) Schiavitù domestica: servitù, ragazze alla pari e spose per corrispondenza;</w:t>
      </w:r>
    </w:p>
    <w:p w14:paraId="1A9A710C" w14:textId="77777777" w:rsidR="006E7CFC" w:rsidRPr="006E7CFC" w:rsidRDefault="006E7CFC" w:rsidP="006E7CFC">
      <w:pPr>
        <w:jc w:val="both"/>
      </w:pPr>
      <w:r w:rsidRPr="006E7CFC">
        <w:t>...”</w:t>
      </w:r>
    </w:p>
    <w:p w14:paraId="31EF8EC9" w14:textId="77777777" w:rsidR="006E7CFC" w:rsidRPr="006E7CFC" w:rsidRDefault="006E7CFC" w:rsidP="006E7CFC">
      <w:pPr>
        <w:jc w:val="both"/>
      </w:pPr>
      <w:r w:rsidRPr="006E7CFC">
        <w:rPr>
          <w:b/>
          <w:bCs/>
        </w:rPr>
        <w:lastRenderedPageBreak/>
        <w:t>Articolo 1 – Scopi della Convenzione</w:t>
      </w:r>
    </w:p>
    <w:p w14:paraId="4E457C0D" w14:textId="77777777" w:rsidR="006E7CFC" w:rsidRPr="006E7CFC" w:rsidRDefault="006E7CFC" w:rsidP="006E7CFC">
      <w:pPr>
        <w:jc w:val="both"/>
      </w:pPr>
      <w:r w:rsidRPr="006E7CFC">
        <w:t>“1. Gli scopi della presente Convenzione sono:  </w:t>
      </w:r>
    </w:p>
    <w:p w14:paraId="5AB4E00E" w14:textId="77777777" w:rsidR="006E7CFC" w:rsidRPr="006E7CFC" w:rsidRDefault="006E7CFC" w:rsidP="006E7CFC">
      <w:pPr>
        <w:jc w:val="both"/>
      </w:pPr>
      <w:r w:rsidRPr="006E7CFC">
        <w:t>a) prevenire e combattere la tratta di esseri umani, garantendo nel contempo la parità di genere;  </w:t>
      </w:r>
    </w:p>
    <w:p w14:paraId="6804510D" w14:textId="77777777" w:rsidR="006E7CFC" w:rsidRPr="006E7CFC" w:rsidRDefault="006E7CFC" w:rsidP="006E7CFC">
      <w:pPr>
        <w:jc w:val="both"/>
      </w:pPr>
      <w:r w:rsidRPr="006E7CFC">
        <w:t>(b) proteggere i diritti umani delle vittime della tratta, elaborare un quadro completo per la protezione e l'assistenza delle vittime e dei testimoni, garantendo al contempo la parità di genere, nonché assicurare indagini e procedimenti penali efficaci;  </w:t>
      </w:r>
    </w:p>
    <w:p w14:paraId="08A64302" w14:textId="77777777" w:rsidR="006E7CFC" w:rsidRPr="006E7CFC" w:rsidRDefault="006E7CFC" w:rsidP="006E7CFC">
      <w:pPr>
        <w:jc w:val="both"/>
      </w:pPr>
      <w:r w:rsidRPr="006E7CFC">
        <w:t>...”</w:t>
      </w:r>
    </w:p>
    <w:p w14:paraId="6D654AB0" w14:textId="77777777" w:rsidR="006E7CFC" w:rsidRPr="006E7CFC" w:rsidRDefault="006E7CFC" w:rsidP="006E7CFC">
      <w:pPr>
        <w:jc w:val="both"/>
      </w:pPr>
      <w:r w:rsidRPr="006E7CFC">
        <w:rPr>
          <w:b/>
          <w:bCs/>
        </w:rPr>
        <w:t>Articolo 4 – Definizioni</w:t>
      </w:r>
    </w:p>
    <w:p w14:paraId="61EF2D28" w14:textId="77777777" w:rsidR="006E7CFC" w:rsidRPr="006E7CFC" w:rsidRDefault="006E7CFC" w:rsidP="006E7CFC">
      <w:pPr>
        <w:jc w:val="both"/>
      </w:pPr>
      <w:r w:rsidRPr="006E7CFC">
        <w:t>“Ai fini della presente Convenzione:</w:t>
      </w:r>
    </w:p>
    <w:p w14:paraId="2FA4550A" w14:textId="77777777" w:rsidR="006E7CFC" w:rsidRPr="006E7CFC" w:rsidRDefault="006E7CFC" w:rsidP="006E7CFC">
      <w:pPr>
        <w:jc w:val="both"/>
      </w:pPr>
      <w:r w:rsidRPr="006E7CFC">
        <w:t>a) "Tratta di esseri umani" significa il reclutamento, il trasporto, il trasferimento, l'ospitare o accogliere persone, tramite la minaccia o l'uso della forza o di altre forme di coercizione, del rapimento, della frode, dell'inganno, dell'abuso di potere o di una posizione di vulnerabilità o tramite il dare o ricevere somme di denaro o vantaggi per ottenere il consenso di una persona che ha autorità su un'altra persona, a scopo di sfruttamento. Lo sfruttamento include, come minimo, lo sfruttamento della prostituzione altrui o altre forme di sfruttamento sessuale, il lavoro o i servizi forzati, la schiavitù o pratiche analoghe alla schiavitù, la servitù o il prelievo di organi;  </w:t>
      </w:r>
    </w:p>
    <w:p w14:paraId="4E5F1DA0" w14:textId="77777777" w:rsidR="006E7CFC" w:rsidRPr="006E7CFC" w:rsidRDefault="006E7CFC" w:rsidP="006E7CFC">
      <w:pPr>
        <w:jc w:val="both"/>
      </w:pPr>
      <w:r w:rsidRPr="006E7CFC">
        <w:t>(b) Il consenso di una vittima della "tratta di esseri umani" allo sfruttamento previsto di cui al comma (a) del presente articolo è irrilevante qualora sia stato utilizzato uno qualsiasi dei mezzi di cui al comma (a);  </w:t>
      </w:r>
    </w:p>
    <w:p w14:paraId="3200576C" w14:textId="77777777" w:rsidR="006E7CFC" w:rsidRPr="006E7CFC" w:rsidRDefault="006E7CFC" w:rsidP="006E7CFC">
      <w:pPr>
        <w:jc w:val="both"/>
      </w:pPr>
      <w:r w:rsidRPr="006E7CFC">
        <w:t>(c) Il reclutamento, il trasporto, il trasferimento, l'ospitare o l'accogliere un bambino a scopo di sfruttamento sarà considerato "tratta di esseri umani" anche se ciò non comporta nessuno dei mezzi di cui al comma (a) del presente articolo;  </w:t>
      </w:r>
    </w:p>
    <w:p w14:paraId="52268AF9" w14:textId="77777777" w:rsidR="006E7CFC" w:rsidRPr="006E7CFC" w:rsidRDefault="006E7CFC" w:rsidP="006E7CFC">
      <w:pPr>
        <w:jc w:val="both"/>
      </w:pPr>
      <w:r w:rsidRPr="006E7CFC">
        <w:t>(d) "Bambino" significa qualsiasi persona di età inferiore a diciotto anni;  </w:t>
      </w:r>
    </w:p>
    <w:p w14:paraId="2BAE49E6" w14:textId="77777777" w:rsidR="006E7CFC" w:rsidRPr="006E7CFC" w:rsidRDefault="006E7CFC" w:rsidP="006E7CFC">
      <w:pPr>
        <w:jc w:val="both"/>
      </w:pPr>
      <w:r w:rsidRPr="006E7CFC">
        <w:t>(e) Per “vittima” si intende qualsiasi persona fisica vittima della tratta di esseri umani, come definita nel presente articolo.  </w:t>
      </w:r>
    </w:p>
    <w:p w14:paraId="5855D56B" w14:textId="77777777" w:rsidR="006E7CFC" w:rsidRPr="006E7CFC" w:rsidRDefault="006E7CFC" w:rsidP="006E7CFC">
      <w:pPr>
        <w:jc w:val="both"/>
      </w:pPr>
      <w:r w:rsidRPr="006E7CFC">
        <w:rPr>
          <w:b/>
          <w:bCs/>
        </w:rPr>
        <w:t>Articolo 19 – Criminalizzazione dell’uso dei servizi di una vittima</w:t>
      </w:r>
    </w:p>
    <w:p w14:paraId="6FE9540B" w14:textId="77777777" w:rsidR="006E7CFC" w:rsidRPr="006E7CFC" w:rsidRDefault="006E7CFC" w:rsidP="006E7CFC">
      <w:pPr>
        <w:jc w:val="both"/>
      </w:pPr>
      <w:r w:rsidRPr="006E7CFC">
        <w:t>“Ciascuna Parte prende in considerazione l’adozione di misure legislative e di altra natura necessarie per definire reato, secondo il proprio diritto interno, l’utilizzo di servizi che costituiscono oggetto di sfruttamento ai sensi dell’articolo 4, paragrafo a) della presente Convenzione, con la consapevolezza che la persona è vittima della tratta di esseri umani.”</w:t>
      </w:r>
    </w:p>
    <w:p w14:paraId="654A1298" w14:textId="77777777" w:rsidR="006E7CFC" w:rsidRPr="006E7CFC" w:rsidRDefault="006E7CFC" w:rsidP="006E7CFC">
      <w:pPr>
        <w:jc w:val="both"/>
      </w:pPr>
      <w:r w:rsidRPr="006E7CFC">
        <w:t>51. </w:t>
      </w:r>
      <w:r w:rsidRPr="006E7CFC">
        <w:rPr>
          <w:b/>
          <w:bCs/>
        </w:rPr>
        <w:t>Altre convenzioni internazionali  </w:t>
      </w:r>
    </w:p>
    <w:p w14:paraId="65B840EF" w14:textId="77777777" w:rsidR="006E7CFC" w:rsidRPr="006E7CFC" w:rsidRDefault="006E7CFC" w:rsidP="006E7CFC">
      <w:pPr>
        <w:jc w:val="both"/>
      </w:pPr>
      <w:r w:rsidRPr="006E7CFC">
        <w:rPr>
          <w:i/>
          <w:iCs/>
        </w:rPr>
        <w:t>(a) Convenzione sul lavoro forzato, adottata il 28 giugno 1930 dalla Conferenza generale dell'Organizzazione internazionale del lavoro (ratificata dalla Francia il 24 giugno 1937)  </w:t>
      </w:r>
    </w:p>
    <w:p w14:paraId="68A00A5B" w14:textId="77777777" w:rsidR="006E7CFC" w:rsidRPr="006E7CFC" w:rsidRDefault="006E7CFC" w:rsidP="006E7CFC">
      <w:pPr>
        <w:jc w:val="both"/>
      </w:pPr>
      <w:r w:rsidRPr="006E7CFC">
        <w:rPr>
          <w:b/>
          <w:bCs/>
        </w:rPr>
        <w:t>Articolo 2</w:t>
      </w:r>
    </w:p>
    <w:p w14:paraId="5EBA36B9" w14:textId="77777777" w:rsidR="006E7CFC" w:rsidRPr="006E7CFC" w:rsidRDefault="006E7CFC" w:rsidP="006E7CFC">
      <w:pPr>
        <w:jc w:val="both"/>
      </w:pPr>
      <w:r w:rsidRPr="006E7CFC">
        <w:lastRenderedPageBreak/>
        <w:t>“1. Ai fini della presente Convenzione, il termine "lavoro forzato o obbligatorio" indica ogni lavoro o servizio estorto a una persona sotto la minaccia di una punizione e per il quale detta persona non si è offerta volontariamente.  </w:t>
      </w:r>
    </w:p>
    <w:p w14:paraId="28D2461A" w14:textId="77777777" w:rsidR="006E7CFC" w:rsidRPr="006E7CFC" w:rsidRDefault="006E7CFC" w:rsidP="006E7CFC">
      <w:pPr>
        <w:jc w:val="both"/>
      </w:pPr>
      <w:r w:rsidRPr="006E7CFC">
        <w:t>2. Tuttavia, ai fini della presente Convenzione, il termine "lavoro forzato o obbligatorio" non comprende:  </w:t>
      </w:r>
    </w:p>
    <w:p w14:paraId="25D826B1" w14:textId="77777777" w:rsidR="006E7CFC" w:rsidRPr="006E7CFC" w:rsidRDefault="006E7CFC" w:rsidP="006E7CFC">
      <w:pPr>
        <w:jc w:val="both"/>
      </w:pPr>
      <w:r w:rsidRPr="006E7CFC">
        <w:t>(a) Qualsiasi lavoro o servizio richiesto in virtù delle leggi sul servizio militare obbligatorio per lavori di carattere puramente militare;  </w:t>
      </w:r>
    </w:p>
    <w:p w14:paraId="70512692" w14:textId="77777777" w:rsidR="006E7CFC" w:rsidRPr="006E7CFC" w:rsidRDefault="006E7CFC" w:rsidP="006E7CFC">
      <w:pPr>
        <w:jc w:val="both"/>
      </w:pPr>
      <w:r w:rsidRPr="006E7CFC">
        <w:t>(b) Qualsiasi lavoro o servizio che faccia parte dei normali obblighi civici dei cittadini di un paese pienamente autonomo;  </w:t>
      </w:r>
    </w:p>
    <w:p w14:paraId="744199CF" w14:textId="77777777" w:rsidR="006E7CFC" w:rsidRPr="006E7CFC" w:rsidRDefault="006E7CFC" w:rsidP="006E7CFC">
      <w:pPr>
        <w:jc w:val="both"/>
      </w:pPr>
      <w:r w:rsidRPr="006E7CFC">
        <w:t>(c) Qualsiasi lavoro o servizio richiesto a qualsiasi persona in conseguenza di una condanna in un tribunale, a condizione che detto lavoro o servizio sia svolto sotto la supervisione e il controllo di un'autorità pubblica e che detta persona non sia assunta o messa a disposizione di privati, aziende o associazioni;  </w:t>
      </w:r>
    </w:p>
    <w:p w14:paraId="13B69443" w14:textId="77777777" w:rsidR="006E7CFC" w:rsidRPr="006E7CFC" w:rsidRDefault="006E7CFC" w:rsidP="006E7CFC">
      <w:pPr>
        <w:jc w:val="both"/>
      </w:pPr>
      <w:r w:rsidRPr="006E7CFC">
        <w:t>d) Qualsiasi lavoro o servizio richiesto in casi di emergenza, vale a dire in caso di guerra o di calamità o minaccia di calamità, come incendi, inondazioni, carestie, terremoti, epidemie violente o malattie epizootiche, invasioni di animali, insetti o parassiti vegetali, e in generale qualsiasi circostanza che possa mettere in pericolo l'esistenza o il benessere di tutta o parte della popolazione;  </w:t>
      </w:r>
    </w:p>
    <w:p w14:paraId="5E627DC5" w14:textId="77777777" w:rsidR="006E7CFC" w:rsidRPr="006E7CFC" w:rsidRDefault="006E7CFC" w:rsidP="006E7CFC">
      <w:pPr>
        <w:jc w:val="both"/>
      </w:pPr>
      <w:r w:rsidRPr="006E7CFC">
        <w:t>(e) Servizi comunali minori di un tipo che, essendo svolti dai membri della comunità nell'interesse diretto della stessa, possono quindi essere considerati normali obblighi civici incombenti sui membri della comunità, a condizione che i membri della comunità o i loro rappresentanti diretti abbiano il diritto di essere consultati in merito alla necessità di tali servizi."  </w:t>
      </w:r>
    </w:p>
    <w:p w14:paraId="037FC796" w14:textId="77777777" w:rsidR="006E7CFC" w:rsidRPr="006E7CFC" w:rsidRDefault="006E7CFC" w:rsidP="006E7CFC">
      <w:pPr>
        <w:jc w:val="both"/>
      </w:pPr>
      <w:r w:rsidRPr="006E7CFC">
        <w:rPr>
          <w:b/>
          <w:bCs/>
        </w:rPr>
        <w:t>Articolo 3</w:t>
      </w:r>
    </w:p>
    <w:p w14:paraId="581870E0" w14:textId="77777777" w:rsidR="006E7CFC" w:rsidRPr="006E7CFC" w:rsidRDefault="006E7CFC" w:rsidP="006E7CFC">
      <w:pPr>
        <w:jc w:val="both"/>
      </w:pPr>
      <w:r w:rsidRPr="006E7CFC">
        <w:t>“Ai fini della presente Convenzione, il termine "autorità competente" indica sia un'autorità del paese metropolitano sia la massima autorità centrale del territorio interessato.”</w:t>
      </w:r>
    </w:p>
    <w:p w14:paraId="3CAF21BC" w14:textId="77777777" w:rsidR="006E7CFC" w:rsidRPr="006E7CFC" w:rsidRDefault="006E7CFC" w:rsidP="006E7CFC">
      <w:pPr>
        <w:jc w:val="both"/>
      </w:pPr>
      <w:r w:rsidRPr="006E7CFC">
        <w:rPr>
          <w:b/>
          <w:bCs/>
        </w:rPr>
        <w:t>Articolo 4</w:t>
      </w:r>
    </w:p>
    <w:p w14:paraId="25ADF367" w14:textId="77777777" w:rsidR="006E7CFC" w:rsidRPr="006E7CFC" w:rsidRDefault="006E7CFC" w:rsidP="006E7CFC">
      <w:pPr>
        <w:jc w:val="both"/>
      </w:pPr>
      <w:r w:rsidRPr="006E7CFC">
        <w:t>“1. L’autorità competente non impone né consente l’imposizione di lavoro forzato o obbligatorio a beneficio di privati, aziende o associazioni.  </w:t>
      </w:r>
    </w:p>
    <w:p w14:paraId="1D5F828C" w14:textId="77777777" w:rsidR="006E7CFC" w:rsidRPr="006E7CFC" w:rsidRDefault="006E7CFC" w:rsidP="006E7CFC">
      <w:pPr>
        <w:jc w:val="both"/>
      </w:pPr>
      <w:r w:rsidRPr="006E7CFC">
        <w:t>2. Qualora esista un lavoro forzato o obbligatorio a beneficio di privati, società o associazioni alla data in cui la ratifica della presente Convenzione da parte di uno Stato Membro viene registrata dal Direttore generale dell'Ufficio internazionale del lavoro, lo Stato Membro dovrà abolire completamente tale lavoro forzato o obbligatorio a partire dalla data in cui la presente Convenzione entra in vigore per tale Stato Membro."  </w:t>
      </w:r>
    </w:p>
    <w:p w14:paraId="741FFD50" w14:textId="77777777" w:rsidR="006E7CFC" w:rsidRPr="006E7CFC" w:rsidRDefault="006E7CFC" w:rsidP="006E7CFC">
      <w:pPr>
        <w:jc w:val="both"/>
      </w:pPr>
      <w:r w:rsidRPr="006E7CFC">
        <w:rPr>
          <w:i/>
          <w:iCs/>
        </w:rPr>
        <w:t>(b) Convenzione sulla schiavitù, firmata a Ginevra il 25 settembre 1926, entrata in vigore il 9 marzo 1927, in conformità alle disposizioni dell'articolo 12  </w:t>
      </w:r>
    </w:p>
    <w:p w14:paraId="0A45D8B5" w14:textId="77777777" w:rsidR="006E7CFC" w:rsidRPr="006E7CFC" w:rsidRDefault="006E7CFC" w:rsidP="006E7CFC">
      <w:pPr>
        <w:jc w:val="both"/>
      </w:pPr>
      <w:r w:rsidRPr="006E7CFC">
        <w:rPr>
          <w:b/>
          <w:bCs/>
        </w:rPr>
        <w:t>Articolo 1</w:t>
      </w:r>
    </w:p>
    <w:p w14:paraId="349747EF" w14:textId="77777777" w:rsidR="006E7CFC" w:rsidRPr="006E7CFC" w:rsidRDefault="006E7CFC" w:rsidP="006E7CFC">
      <w:pPr>
        <w:jc w:val="both"/>
      </w:pPr>
      <w:r w:rsidRPr="006E7CFC">
        <w:lastRenderedPageBreak/>
        <w:t>“Ai fini della presente Convenzione, si concordano le seguenti definizioni:</w:t>
      </w:r>
    </w:p>
    <w:p w14:paraId="2AAF6DCC" w14:textId="77777777" w:rsidR="006E7CFC" w:rsidRPr="006E7CFC" w:rsidRDefault="006E7CFC" w:rsidP="006E7CFC">
      <w:pPr>
        <w:jc w:val="both"/>
      </w:pPr>
      <w:r w:rsidRPr="006E7CFC">
        <w:t>1. La schiavitù è lo stato o la condizione di una persona sulla quale vengono esercitati uno o tutti i poteri connessi al diritto di proprietà;  </w:t>
      </w:r>
    </w:p>
    <w:p w14:paraId="2713FA03" w14:textId="77777777" w:rsidR="006E7CFC" w:rsidRPr="006E7CFC" w:rsidRDefault="006E7CFC" w:rsidP="006E7CFC">
      <w:pPr>
        <w:jc w:val="both"/>
      </w:pPr>
      <w:r w:rsidRPr="006E7CFC">
        <w:t>2. La tratta degli schiavi comprende tutti gli atti implicati nella cattura, acquisizione o cessione di una persona con l'intento di ridurla in schiavitù; tutti gli atti implicati nell'acquisizione di uno schiavo al fine di venderlo o scambiarlo; tutti gli atti di cessione tramite vendita o scambio di uno schiavo acquisito al fine di essere venduto o scambiato e, in generale, ogni atto di commercio o trasporto di schiavi."  </w:t>
      </w:r>
    </w:p>
    <w:p w14:paraId="446B02D5" w14:textId="77777777" w:rsidR="006E7CFC" w:rsidRPr="006E7CFC" w:rsidRDefault="006E7CFC" w:rsidP="006E7CFC">
      <w:pPr>
        <w:jc w:val="both"/>
      </w:pPr>
      <w:r w:rsidRPr="006E7CFC">
        <w:rPr>
          <w:b/>
          <w:bCs/>
        </w:rPr>
        <w:t>Articolo 4</w:t>
      </w:r>
    </w:p>
    <w:p w14:paraId="585872A1" w14:textId="77777777" w:rsidR="006E7CFC" w:rsidRPr="006E7CFC" w:rsidRDefault="006E7CFC" w:rsidP="006E7CFC">
      <w:pPr>
        <w:jc w:val="both"/>
      </w:pPr>
      <w:r w:rsidRPr="006E7CFC">
        <w:t>“Le Alte Parti Contraenti si presteranno reciprocamente ogni assistenza allo scopo di garantire l’abolizione della schiavitù e della tratta degli schiavi.”</w:t>
      </w:r>
    </w:p>
    <w:p w14:paraId="54326EBE" w14:textId="77777777" w:rsidR="006E7CFC" w:rsidRPr="006E7CFC" w:rsidRDefault="006E7CFC" w:rsidP="006E7CFC">
      <w:pPr>
        <w:jc w:val="both"/>
      </w:pPr>
      <w:r w:rsidRPr="006E7CFC">
        <w:rPr>
          <w:b/>
          <w:bCs/>
        </w:rPr>
        <w:t>Articolo 5</w:t>
      </w:r>
    </w:p>
    <w:p w14:paraId="2DCF4A36" w14:textId="77777777" w:rsidR="006E7CFC" w:rsidRPr="006E7CFC" w:rsidRDefault="006E7CFC" w:rsidP="006E7CFC">
      <w:pPr>
        <w:jc w:val="both"/>
      </w:pPr>
      <w:r w:rsidRPr="006E7CFC">
        <w:t>“Le Alte Parti Contraenti riconoscono che il ricorso al lavoro obbligatorio o forzato può avere gravi conseguenze e si impegnano, ciascuna per quanto riguarda i territori posti sotto la sua sovranità, giurisdizione, protezione, sovranità o tutela, a prendere tutte le misure necessarie per impedire che il lavoro obbligatorio o forzato si trasformi in condizioni analoghe alla schiavitù.</w:t>
      </w:r>
    </w:p>
    <w:p w14:paraId="045ED5A2" w14:textId="77777777" w:rsidR="006E7CFC" w:rsidRPr="006E7CFC" w:rsidRDefault="006E7CFC" w:rsidP="006E7CFC">
      <w:pPr>
        <w:jc w:val="both"/>
      </w:pPr>
      <w:r w:rsidRPr="006E7CFC">
        <w:t>Si conviene che:</w:t>
      </w:r>
    </w:p>
    <w:p w14:paraId="45365D6D" w14:textId="77777777" w:rsidR="006E7CFC" w:rsidRPr="006E7CFC" w:rsidRDefault="006E7CFC" w:rsidP="006E7CFC">
      <w:pPr>
        <w:jc w:val="both"/>
      </w:pPr>
      <w:r w:rsidRPr="006E7CFC">
        <w:t>1. Fatte salve le disposizioni transitorie di cui al paragrafo 2, il lavoro obbligatorio o forzato può essere richiesto solo per fini pubblici;  </w:t>
      </w:r>
    </w:p>
    <w:p w14:paraId="51AAF391" w14:textId="77777777" w:rsidR="006E7CFC" w:rsidRPr="006E7CFC" w:rsidRDefault="006E7CFC" w:rsidP="006E7CFC">
      <w:pPr>
        <w:jc w:val="both"/>
      </w:pPr>
      <w:r w:rsidRPr="006E7CFC">
        <w:t>2. Nei territori in cui persiste il lavoro forzato o obbligatorio per scopi diversi da quelli pubblici, le Alte Parti Contraenti si sforzeranno di porre fine progressivamente e il più presto possibile a tale pratica. Finché esisterà tale lavoro forzato o obbligatorio, esso dovrà sempre avere carattere eccezionale, ricevere una remunerazione adeguata e non dovrà comportare l'allontanamento dei lavoratori dal loro luogo di residenza abituale;  </w:t>
      </w:r>
    </w:p>
    <w:p w14:paraId="264EDAC4" w14:textId="77777777" w:rsidR="006E7CFC" w:rsidRPr="006E7CFC" w:rsidRDefault="006E7CFC" w:rsidP="006E7CFC">
      <w:pPr>
        <w:jc w:val="both"/>
      </w:pPr>
      <w:r w:rsidRPr="006E7CFC">
        <w:t>3. In ogni caso, la responsabilità di ogni ricorso al lavoro obbligatorio o forzato spetta alle autorità centrali competenti del territorio interessato.”  </w:t>
      </w:r>
    </w:p>
    <w:p w14:paraId="3A2B69EB" w14:textId="77777777" w:rsidR="006E7CFC" w:rsidRPr="006E7CFC" w:rsidRDefault="006E7CFC" w:rsidP="006E7CFC">
      <w:pPr>
        <w:jc w:val="both"/>
      </w:pPr>
      <w:r w:rsidRPr="006E7CFC">
        <w:rPr>
          <w:i/>
          <w:iCs/>
        </w:rPr>
        <w:t>(c) Convenzione supplementare sull'abolizione della schiavitù, della tratta degli schiavi e delle istituzioni e pratiche analoghe alla schiavitù, adottata il 30 aprile 1956 ed entrata in vigore per la Francia il 26 maggio 1964   </w:t>
      </w:r>
    </w:p>
    <w:p w14:paraId="2E8B389C" w14:textId="77777777" w:rsidR="006E7CFC" w:rsidRPr="006E7CFC" w:rsidRDefault="006E7CFC" w:rsidP="006E7CFC">
      <w:pPr>
        <w:jc w:val="both"/>
      </w:pPr>
      <w:r w:rsidRPr="006E7CFC">
        <w:rPr>
          <w:b/>
          <w:bCs/>
        </w:rPr>
        <w:t>Sezione I. Istituzioni e pratiche simili alla schiavitù</w:t>
      </w:r>
    </w:p>
    <w:p w14:paraId="2E078327" w14:textId="77777777" w:rsidR="006E7CFC" w:rsidRPr="006E7CFC" w:rsidRDefault="006E7CFC" w:rsidP="006E7CFC">
      <w:pPr>
        <w:jc w:val="both"/>
      </w:pPr>
      <w:r w:rsidRPr="006E7CFC">
        <w:rPr>
          <w:b/>
          <w:bCs/>
        </w:rPr>
        <w:t>Articolo 1</w:t>
      </w:r>
    </w:p>
    <w:p w14:paraId="713F37C5" w14:textId="77777777" w:rsidR="006E7CFC" w:rsidRPr="006E7CFC" w:rsidRDefault="006E7CFC" w:rsidP="006E7CFC">
      <w:pPr>
        <w:jc w:val="both"/>
      </w:pPr>
      <w:r w:rsidRPr="006E7CFC">
        <w:t xml:space="preserve">“Ciascuno degli Stati parti della presente Convenzione adotterà tutte le misure legislative e di altra natura praticabili e necessarie per giungere progressivamente e il più presto possibile alla completa abolizione o all’abbandono delle seguenti istituzioni e pratiche, laddove esistano ancora e </w:t>
      </w:r>
      <w:r w:rsidRPr="006E7CFC">
        <w:lastRenderedPageBreak/>
        <w:t>indipendentemente dal fatto che siano o meno coperte dalla definizione di schiavitù contenuta nell’articolo 1 della Convenzione sulla schiavitù firmata a Ginevra il 25 settembre 1926: </w:t>
      </w:r>
    </w:p>
    <w:p w14:paraId="214B8125" w14:textId="77777777" w:rsidR="006E7CFC" w:rsidRPr="006E7CFC" w:rsidRDefault="006E7CFC" w:rsidP="006E7CFC">
      <w:pPr>
        <w:jc w:val="both"/>
      </w:pPr>
      <w:r w:rsidRPr="006E7CFC">
        <w:t>(a) Servitù per debiti, vale a dire lo stato o la condizione derivante da un pegno da parte di un debitore dei suoi servizi personali o di quelli di una persona sotto il suo controllo come garanzia di un debito, se il valore di tali servizi, come ragionevolmente valutato, non viene applicato alla liquidazione del debito o la durata e la natura di tali servizi non sono rispettivamente limitate e definite;  </w:t>
      </w:r>
    </w:p>
    <w:p w14:paraId="68A63697" w14:textId="77777777" w:rsidR="006E7CFC" w:rsidRPr="006E7CFC" w:rsidRDefault="006E7CFC" w:rsidP="006E7CFC">
      <w:pPr>
        <w:jc w:val="both"/>
      </w:pPr>
      <w:r w:rsidRPr="006E7CFC">
        <w:t>(b) La servitù della gleba, vale a dire la condizione o lo status di un affittuario che è tenuto per legge, consuetudine o accordo a vivere e lavorare su un terreno appartenente a un'altra persona e a rendere un determinato servizio a tale altra persona, dietro compenso o meno, e non è libero di cambiare il suo status;  </w:t>
      </w:r>
    </w:p>
    <w:p w14:paraId="4B892A01" w14:textId="77777777" w:rsidR="006E7CFC" w:rsidRPr="006E7CFC" w:rsidRDefault="006E7CFC" w:rsidP="006E7CFC">
      <w:pPr>
        <w:jc w:val="both"/>
      </w:pPr>
      <w:r w:rsidRPr="006E7CFC">
        <w:t>...</w:t>
      </w:r>
    </w:p>
    <w:p w14:paraId="681D3876" w14:textId="77777777" w:rsidR="006E7CFC" w:rsidRPr="006E7CFC" w:rsidRDefault="006E7CFC" w:rsidP="006E7CFC">
      <w:pPr>
        <w:jc w:val="both"/>
      </w:pPr>
      <w:r w:rsidRPr="006E7CFC">
        <w:t>(d) Qualsiasi istituzione o pratica mediante la quale un bambino o un giovane di età inferiore ai 18 anni viene consegnato da uno o entrambi i suoi genitori naturali o dal suo tutore a un'altra persona, dietro compenso o meno, allo scopo di sfruttarlo o sfruttarne il lavoro.  </w:t>
      </w:r>
    </w:p>
    <w:p w14:paraId="440BE760" w14:textId="77777777" w:rsidR="006E7CFC" w:rsidRPr="006E7CFC" w:rsidRDefault="006E7CFC" w:rsidP="006E7CFC">
      <w:pPr>
        <w:jc w:val="both"/>
      </w:pPr>
      <w:r w:rsidRPr="006E7CFC">
        <w:rPr>
          <w:i/>
          <w:iCs/>
        </w:rPr>
        <w:t>d) Convenzione internazionale sui diritti del fanciullo, del 20 novembre 1989, entrata in vigore per la Francia il 6 settembre 1990    </w:t>
      </w:r>
    </w:p>
    <w:p w14:paraId="17B825EB" w14:textId="77777777" w:rsidR="006E7CFC" w:rsidRPr="006E7CFC" w:rsidRDefault="006E7CFC" w:rsidP="006E7CFC">
      <w:pPr>
        <w:jc w:val="both"/>
      </w:pPr>
      <w:r w:rsidRPr="006E7CFC">
        <w:rPr>
          <w:b/>
          <w:bCs/>
        </w:rPr>
        <w:t>Articolo 19</w:t>
      </w:r>
    </w:p>
    <w:p w14:paraId="0E936C42" w14:textId="77777777" w:rsidR="006E7CFC" w:rsidRPr="006E7CFC" w:rsidRDefault="006E7CFC" w:rsidP="006E7CFC">
      <w:pPr>
        <w:jc w:val="both"/>
      </w:pPr>
      <w:r w:rsidRPr="006E7CFC">
        <w:t>“1. Gli Stati parti adottano ogni misura legislativa, amministrativa, sociale ed educativa adeguata per proteggere il fanciullo contro ogni forma di violenza, di lesione o di brutalità fisica o mentale, di abbandono o di negligenza, di maltrattamento o di sfruttamento, compresa la violenza sessuale, per tutto il tempo in cui è affidato ai suoi genitori, al suo tutore legale o a ogni altra persona che abbia cura di lui.  </w:t>
      </w:r>
    </w:p>
    <w:p w14:paraId="48ACE92E" w14:textId="77777777" w:rsidR="006E7CFC" w:rsidRPr="006E7CFC" w:rsidRDefault="006E7CFC" w:rsidP="006E7CFC">
      <w:pPr>
        <w:jc w:val="both"/>
      </w:pPr>
      <w:r w:rsidRPr="006E7CFC">
        <w:t>2. Tali misure di protezione dovrebbero, ove opportuno, includere procedure efficaci per l'istituzione di programmi sociali volti a fornire il sostegno necessario al bambino e a coloro che ne hanno la cura, nonché per altre forme di prevenzione e per l'identificazione, la segnalazione, il rinvio, l'indagine, il trattamento e il follow-up dei casi di maltrattamento sui minori descritti in precedenza e, ove opportuno, per l'intervento giudiziario."  </w:t>
      </w:r>
    </w:p>
    <w:p w14:paraId="2C7A754F" w14:textId="77777777" w:rsidR="006E7CFC" w:rsidRPr="006E7CFC" w:rsidRDefault="006E7CFC" w:rsidP="006E7CFC">
      <w:pPr>
        <w:jc w:val="both"/>
      </w:pPr>
      <w:r w:rsidRPr="006E7CFC">
        <w:rPr>
          <w:b/>
          <w:bCs/>
        </w:rPr>
        <w:t>Articolo 32</w:t>
      </w:r>
    </w:p>
    <w:p w14:paraId="70F32B3E" w14:textId="77777777" w:rsidR="006E7CFC" w:rsidRPr="006E7CFC" w:rsidRDefault="006E7CFC" w:rsidP="006E7CFC">
      <w:pPr>
        <w:jc w:val="both"/>
      </w:pPr>
      <w:r w:rsidRPr="006E7CFC">
        <w:t>“1. Gli Stati parti riconoscono il diritto del fanciullo ad essere protetto contro lo sfruttamento economico e a non essere costretto ad alcun lavoro che comporti rischi o sia suscettibile di porre a repentaglio la sua educazione o di nuocere alla sua salute o al suo sviluppo fisico, mentale, spirituale, morale o sociale.  </w:t>
      </w:r>
    </w:p>
    <w:p w14:paraId="3BCED7AB" w14:textId="77777777" w:rsidR="006E7CFC" w:rsidRPr="006E7CFC" w:rsidRDefault="006E7CFC" w:rsidP="006E7CFC">
      <w:pPr>
        <w:jc w:val="both"/>
      </w:pPr>
      <w:r w:rsidRPr="006E7CFC">
        <w:t>2. Gli Stati Parte adottano misure legislative, amministrative, sociali ed educative per garantire l'attuazione del presente articolo. A tal fine, e tenendo conto delle disposizioni pertinenti di altri strumenti internazionali, gli Stati Parte devono in particolare:  </w:t>
      </w:r>
    </w:p>
    <w:p w14:paraId="09349590" w14:textId="77777777" w:rsidR="006E7CFC" w:rsidRPr="006E7CFC" w:rsidRDefault="006E7CFC" w:rsidP="006E7CFC">
      <w:pPr>
        <w:jc w:val="both"/>
      </w:pPr>
      <w:r w:rsidRPr="006E7CFC">
        <w:lastRenderedPageBreak/>
        <w:t>(a) prevedere un'età minima o età minime per l'ammissione al lavoro;  </w:t>
      </w:r>
    </w:p>
    <w:p w14:paraId="415A7201" w14:textId="77777777" w:rsidR="006E7CFC" w:rsidRPr="006E7CFC" w:rsidRDefault="006E7CFC" w:rsidP="006E7CFC">
      <w:pPr>
        <w:jc w:val="both"/>
      </w:pPr>
      <w:r w:rsidRPr="006E7CFC">
        <w:t>(b) prevedere un'adeguata regolamentazione degli orari e delle condizioni di lavoro;  </w:t>
      </w:r>
    </w:p>
    <w:p w14:paraId="45D46F26" w14:textId="77777777" w:rsidR="006E7CFC" w:rsidRPr="006E7CFC" w:rsidRDefault="006E7CFC" w:rsidP="006E7CFC">
      <w:pPr>
        <w:jc w:val="both"/>
      </w:pPr>
      <w:r w:rsidRPr="006E7CFC">
        <w:t>(c) prevedere sanzioni appropriate o altre sanzioni per garantire l’effettiva applicazione del presente articolo.”  </w:t>
      </w:r>
    </w:p>
    <w:p w14:paraId="01B8D608" w14:textId="77777777" w:rsidR="006E7CFC" w:rsidRPr="006E7CFC" w:rsidRDefault="006E7CFC" w:rsidP="006E7CFC">
      <w:pPr>
        <w:jc w:val="both"/>
      </w:pPr>
      <w:r w:rsidRPr="006E7CFC">
        <w:rPr>
          <w:b/>
          <w:bCs/>
        </w:rPr>
        <w:t>Articolo 36</w:t>
      </w:r>
    </w:p>
    <w:p w14:paraId="2AF7A07D" w14:textId="77777777" w:rsidR="006E7CFC" w:rsidRPr="006E7CFC" w:rsidRDefault="006E7CFC" w:rsidP="006E7CFC">
      <w:pPr>
        <w:jc w:val="both"/>
      </w:pPr>
      <w:r w:rsidRPr="006E7CFC">
        <w:t>“Gli Stati parti proteggono il fanciullo contro ogni altra forma di sfruttamento pregiudizievole al suo benessere in ogni suo aspetto.”</w:t>
      </w:r>
    </w:p>
    <w:p w14:paraId="78D49BFF" w14:textId="77777777" w:rsidR="006E7CFC" w:rsidRPr="006E7CFC" w:rsidRDefault="006E7CFC" w:rsidP="006E7CFC">
      <w:pPr>
        <w:jc w:val="both"/>
      </w:pPr>
      <w:r w:rsidRPr="006E7CFC">
        <w:t>LA LEGGE</w:t>
      </w:r>
    </w:p>
    <w:p w14:paraId="0F718C83" w14:textId="77777777" w:rsidR="006E7CFC" w:rsidRPr="006E7CFC" w:rsidRDefault="006E7CFC" w:rsidP="006E7CFC">
      <w:pPr>
        <w:jc w:val="both"/>
      </w:pPr>
      <w:r w:rsidRPr="006E7CFC">
        <w:t>I. PRESUNTA VIOLAZIONE DELL'ARTICOLO 4 DELLA CONVENZIONE  </w:t>
      </w:r>
    </w:p>
    <w:p w14:paraId="12282F45" w14:textId="77777777" w:rsidR="006E7CFC" w:rsidRPr="006E7CFC" w:rsidRDefault="006E7CFC" w:rsidP="006E7CFC">
      <w:pPr>
        <w:jc w:val="both"/>
      </w:pPr>
      <w:r w:rsidRPr="006E7CFC">
        <w:t>52. Il ricorrente lamentava la violazione dell'articolo 4 della Convenzione. Tale disposizione stabilisce, </w:t>
      </w:r>
      <w:r w:rsidRPr="006E7CFC">
        <w:rPr>
          <w:i/>
          <w:iCs/>
        </w:rPr>
        <w:t>tra l'altro </w:t>
      </w:r>
      <w:r w:rsidRPr="006E7CFC">
        <w:t>:  </w:t>
      </w:r>
    </w:p>
    <w:p w14:paraId="2AAA2DF4" w14:textId="77777777" w:rsidR="006E7CFC" w:rsidRPr="006E7CFC" w:rsidRDefault="006E7CFC" w:rsidP="006E7CFC">
      <w:pPr>
        <w:jc w:val="both"/>
      </w:pPr>
      <w:r w:rsidRPr="006E7CFC">
        <w:t>“1. Nessun individuo potrà essere tenuto in stato di schiavitù o di servitù.  </w:t>
      </w:r>
    </w:p>
    <w:p w14:paraId="5DB1B2D8" w14:textId="77777777" w:rsidR="006E7CFC" w:rsidRPr="006E7CFC" w:rsidRDefault="006E7CFC" w:rsidP="006E7CFC">
      <w:pPr>
        <w:jc w:val="both"/>
      </w:pPr>
      <w:r w:rsidRPr="006E7CFC">
        <w:t>2. Nessuno può essere costretto a svolgere un lavoro forzato o obbligatorio.  </w:t>
      </w:r>
    </w:p>
    <w:p w14:paraId="0526F412" w14:textId="77777777" w:rsidR="006E7CFC" w:rsidRPr="006E7CFC" w:rsidRDefault="006E7CFC" w:rsidP="006E7CFC">
      <w:pPr>
        <w:jc w:val="both"/>
      </w:pPr>
      <w:r w:rsidRPr="006E7CFC">
        <w:t>...”</w:t>
      </w:r>
    </w:p>
    <w:p w14:paraId="426E03B9" w14:textId="77777777" w:rsidR="006E7CFC" w:rsidRPr="006E7CFC" w:rsidRDefault="006E7CFC" w:rsidP="006E7CFC">
      <w:pPr>
        <w:jc w:val="both"/>
      </w:pPr>
      <w:r w:rsidRPr="006E7CFC">
        <w:rPr>
          <w:b/>
          <w:bCs/>
        </w:rPr>
        <w:t>A. Se il ricorrente avesse lo status di “vittima”  </w:t>
      </w:r>
    </w:p>
    <w:p w14:paraId="119197FE" w14:textId="77777777" w:rsidR="006E7CFC" w:rsidRPr="006E7CFC" w:rsidRDefault="006E7CFC" w:rsidP="006E7CFC">
      <w:pPr>
        <w:jc w:val="both"/>
      </w:pPr>
      <w:r w:rsidRPr="006E7CFC">
        <w:t>53. Il Governo ha sostenuto in via principale che il ricorrente non poteva più affermare di essere vittima di una violazione della Convenzione ai sensi dell'articolo 34.  </w:t>
      </w:r>
    </w:p>
    <w:p w14:paraId="19809F34" w14:textId="77777777" w:rsidR="006E7CFC" w:rsidRPr="006E7CFC" w:rsidRDefault="006E7CFC" w:rsidP="006E7CFC">
      <w:pPr>
        <w:jc w:val="both"/>
      </w:pPr>
      <w:r w:rsidRPr="006E7CFC">
        <w:t>Hanno affermato in via preliminare di non contestare il fatto che la ricorrente fosse stata vittima di una condotta particolarmente riprovevole da parte della coppia che l'aveva accolta, né che la sentenza della Corte d'appello di Parigi del 19 ottobre 2000 non avesse riconosciuto la realtà di tale situazione in diritto. Hanno tuttavia osservato che la ricorrente non aveva presentato ricorso contro la sentenza di primo grado che aveva condannato i suoi "datori di lavoro" esclusivamente sulla base dell'articolo 225-13 del Codice penale e che da ciò si doveva concludere che aveva accettato la loro condanna ai sensi di tale solo articolo.</w:t>
      </w:r>
    </w:p>
    <w:p w14:paraId="76683CA5" w14:textId="77777777" w:rsidR="006E7CFC" w:rsidRPr="006E7CFC" w:rsidRDefault="006E7CFC" w:rsidP="006E7CFC">
      <w:pPr>
        <w:jc w:val="both"/>
      </w:pPr>
      <w:r w:rsidRPr="006E7CFC">
        <w:t>Di conseguenza, la ricorrente non poteva avvalersi dell'assenza di una condanna ai sensi dell'articolo 225-14 del Codice penale per sostenere di avere ancora lo status di vittima.</w:t>
      </w:r>
    </w:p>
    <w:p w14:paraId="17EB6CF8" w14:textId="77777777" w:rsidR="006E7CFC" w:rsidRPr="006E7CFC" w:rsidRDefault="006E7CFC" w:rsidP="006E7CFC">
      <w:pPr>
        <w:jc w:val="both"/>
      </w:pPr>
      <w:r w:rsidRPr="006E7CFC">
        <w:t xml:space="preserve">54. Inoltre, il Governo ha osservato che il ricorso per cassazione della ricorrente era ancora pendente al momento del deposito del suo ricorso dinanzi alla Corte. Tuttavia, a seguito della sentenza della Corte di cassazione che ha annullato la sentenza della Corte d'appello di Parigi, la corte d'appello, a cui è stato successivamente rinviato il caso, aveva riconosciuto lo stato di dipendenza e vulnerabilità della ricorrente ai sensi dell'articolo 225-13 del Codice penale, nonché lo sfruttamento a cui era stata sottoposta, sebbene fosse tenuta a esaminare solo le domande civili. Ha sottolineato che, in linea con la giurisprudenza, una decisione o una misura favorevole a una ricorrente era sufficiente a </w:t>
      </w:r>
      <w:r w:rsidRPr="006E7CFC">
        <w:lastRenderedPageBreak/>
        <w:t>privarla dello status di "vittima", a condizione che le autorità nazionali avessero riconosciuto, espressamente o nel merito, e poi riparato la violazione della Convenzione.  </w:t>
      </w:r>
    </w:p>
    <w:p w14:paraId="3DC036A4" w14:textId="77777777" w:rsidR="006E7CFC" w:rsidRPr="006E7CFC" w:rsidRDefault="006E7CFC" w:rsidP="006E7CFC">
      <w:pPr>
        <w:jc w:val="both"/>
      </w:pPr>
      <w:r w:rsidRPr="006E7CFC">
        <w:t>55. Il Governo ha concluso che la sanzione imposta dalla Corte d'appello di Versailles doveva essere considerata come riparatrice della violazione lamentata dalla ricorrente dinanzi alla Corte, soprattutto perché quest'ultima non aveva presentato ricorso per cassazione avverso la sentenza. Ha inoltre sottolineato che il tribunale del lavoro di Parigi aveva emesso sentenze in merito a salari e benefici non pagati.  </w:t>
      </w:r>
    </w:p>
    <w:p w14:paraId="11FD1589" w14:textId="77777777" w:rsidR="006E7CFC" w:rsidRPr="006E7CFC" w:rsidRDefault="006E7CFC" w:rsidP="006E7CFC">
      <w:pPr>
        <w:jc w:val="both"/>
      </w:pPr>
      <w:r w:rsidRPr="006E7CFC">
        <w:t>56. Infine, lo status di immigrazione della ricorrente era stato regolarizzato e le era stato concesso un permesso di soggiorno che le consentiva di risiedere legalmente in Francia e di proseguire gli studi. In conclusione, il Governo ha ritenuto che la ricorrente non potesse più affermare di essere vittima di una violazione della Convenzione ai sensi dell'articolo 34.  </w:t>
      </w:r>
    </w:p>
    <w:p w14:paraId="352FE816" w14:textId="77777777" w:rsidR="006E7CFC" w:rsidRPr="006E7CFC" w:rsidRDefault="006E7CFC" w:rsidP="006E7CFC">
      <w:pPr>
        <w:jc w:val="both"/>
      </w:pPr>
      <w:r w:rsidRPr="006E7CFC">
        <w:t>57. La ricorrente non ha contestato che siano state adottate alcune misure e decisioni a lei favorevoli.  </w:t>
      </w:r>
    </w:p>
    <w:p w14:paraId="09E75A21" w14:textId="77777777" w:rsidR="006E7CFC" w:rsidRPr="006E7CFC" w:rsidRDefault="006E7CFC" w:rsidP="006E7CFC">
      <w:pPr>
        <w:jc w:val="both"/>
      </w:pPr>
      <w:r w:rsidRPr="006E7CFC">
        <w:t>58. Tuttavia, ha sottolineato che le autorità nazionali non avevano mai riconosciuto, né espressamente né nella sostanza, la sua denuncia secondo cui lo Stato non aveva rispettato il suo obbligo positivo, insito nell'articolo 4, di garantire una protezione concreta ed effettiva contro le pratiche vietate da tale articolo e alle quali era stata sottoposta dal signor e dalla signora B. Era stato previsto solo un ricorso civile.  </w:t>
      </w:r>
    </w:p>
    <w:p w14:paraId="0B795811" w14:textId="77777777" w:rsidR="006E7CFC" w:rsidRPr="006E7CFC" w:rsidRDefault="006E7CFC" w:rsidP="006E7CFC">
      <w:pPr>
        <w:jc w:val="both"/>
      </w:pPr>
      <w:r w:rsidRPr="006E7CFC">
        <w:t>59. Ha sostenuto che gli articoli 225-13 e 225-14 del Codice penale, così come formulati all'epoca dei fatti, erano troppo espliciti e sfuggenti, e in tale divergenza con i criteri europei e internazionali per definire la servitù e il lavoro forzato o obbligatorio, che non le era stata garantita una protezione efficace e sufficiente contro le pratiche a cui era stata sottoposta.  </w:t>
      </w:r>
    </w:p>
    <w:p w14:paraId="493440DE" w14:textId="77777777" w:rsidR="006E7CFC" w:rsidRPr="006E7CFC" w:rsidRDefault="006E7CFC" w:rsidP="006E7CFC">
      <w:pPr>
        <w:jc w:val="both"/>
      </w:pPr>
      <w:r w:rsidRPr="006E7CFC">
        <w:t>60. L'articolo 34 della Convenzione prevede che «[l]a Corte può ricevere ricorsi da qualsiasi persona ... che sostenga di essere vittima di una violazione da parte di una delle Alte Parti contraenti dei diritti riconosciuti nella Convenzione o nei suoi Protocolli ...».  </w:t>
      </w:r>
    </w:p>
    <w:p w14:paraId="74A9636E" w14:textId="77777777" w:rsidR="006E7CFC" w:rsidRPr="006E7CFC" w:rsidRDefault="006E7CFC" w:rsidP="006E7CFC">
      <w:pPr>
        <w:jc w:val="both"/>
      </w:pPr>
      <w:r w:rsidRPr="006E7CFC">
        <w:t>61. La Corte ribadisce che spetta in primo luogo alle autorità nazionali porre rimedio a qualsiasi presunta violazione della Convenzione. A tale riguardo, la questione se un ricorrente possa affermare di essere vittima della presunta violazione è rilevante in tutte le fasi del procedimento ai sensi della Convenzione (cfr. </w:t>
      </w:r>
      <w:proofErr w:type="spellStart"/>
      <w:r w:rsidRPr="006E7CFC">
        <w:rPr>
          <w:i/>
          <w:iCs/>
        </w:rPr>
        <w:t>Karahalios</w:t>
      </w:r>
      <w:proofErr w:type="spellEnd"/>
      <w:r w:rsidRPr="006E7CFC">
        <w:rPr>
          <w:i/>
          <w:iCs/>
        </w:rPr>
        <w:t xml:space="preserve"> c. Grecia </w:t>
      </w:r>
      <w:r w:rsidRPr="006E7CFC">
        <w:t>, n. </w:t>
      </w:r>
      <w:hyperlink r:id="rId8" w:anchor="{%22appno%22:[%2262503/00%22]}" w:tgtFrame="_blank" w:history="1">
        <w:r w:rsidRPr="006E7CFC">
          <w:rPr>
            <w:rStyle w:val="Collegamentoipertestuale"/>
          </w:rPr>
          <w:t>62503/00</w:t>
        </w:r>
      </w:hyperlink>
      <w:r w:rsidRPr="006E7CFC">
        <w:t> , § 21, 11 dicembre 2003, e </w:t>
      </w:r>
      <w:proofErr w:type="spellStart"/>
      <w:r w:rsidRPr="006E7CFC">
        <w:rPr>
          <w:i/>
          <w:iCs/>
        </w:rPr>
        <w:t>Malama</w:t>
      </w:r>
      <w:proofErr w:type="spellEnd"/>
      <w:r w:rsidRPr="006E7CFC">
        <w:rPr>
          <w:i/>
          <w:iCs/>
        </w:rPr>
        <w:t xml:space="preserve"> c. Grecia </w:t>
      </w:r>
      <w:r w:rsidRPr="006E7CFC">
        <w:t>(</w:t>
      </w:r>
      <w:proofErr w:type="spellStart"/>
      <w:r w:rsidRPr="006E7CFC">
        <w:t>dec</w:t>
      </w:r>
      <w:proofErr w:type="spellEnd"/>
      <w:r w:rsidRPr="006E7CFC">
        <w:t>.), n. </w:t>
      </w:r>
      <w:hyperlink r:id="rId9" w:anchor="{%22appno%22:[%2243622/98%22]}" w:tgtFrame="_blank" w:history="1">
        <w:r w:rsidRPr="006E7CFC">
          <w:rPr>
            <w:rStyle w:val="Collegamentoipertestuale"/>
          </w:rPr>
          <w:t>43622/98</w:t>
        </w:r>
      </w:hyperlink>
      <w:r w:rsidRPr="006E7CFC">
        <w:t> , 25 novembre 1999).  </w:t>
      </w:r>
    </w:p>
    <w:p w14:paraId="21586A8C" w14:textId="77777777" w:rsidR="006E7CFC" w:rsidRPr="006E7CFC" w:rsidRDefault="006E7CFC" w:rsidP="006E7CFC">
      <w:pPr>
        <w:jc w:val="both"/>
      </w:pPr>
      <w:r w:rsidRPr="006E7CFC">
        <w:t>62. È giurisprudenza consolidata della Corte che il termine “vittima” nel contesto dell’articolo 34 della Convenzione designa la persona direttamente interessata dall’atto o dall’omissione in questione, essendo concepibile l’esistenza di una violazione della Convenzione anche in assenza di pregiudizio; il pregiudizio è rilevante solo nel contesto dell'articolo 41. Di conseguenza, una decisione o una misura favorevole a un ricorrente non è in linea di principio sufficiente a privarlo del suo status di "vittima", a meno che le autorità nazionali non abbiano riconosciuto, espressamente o sostanzialmente, e poi riparato la violazione della Convenzione (vedere, tra le altre, </w:t>
      </w:r>
      <w:proofErr w:type="spellStart"/>
      <w:r w:rsidRPr="006E7CFC">
        <w:rPr>
          <w:i/>
          <w:iCs/>
        </w:rPr>
        <w:t>Amuur</w:t>
      </w:r>
      <w:proofErr w:type="spellEnd"/>
      <w:r w:rsidRPr="006E7CFC">
        <w:rPr>
          <w:i/>
          <w:iCs/>
        </w:rPr>
        <w:t xml:space="preserve"> c. </w:t>
      </w:r>
      <w:r w:rsidRPr="006E7CFC">
        <w:rPr>
          <w:i/>
          <w:iCs/>
        </w:rPr>
        <w:lastRenderedPageBreak/>
        <w:t>Francia </w:t>
      </w:r>
      <w:r w:rsidRPr="006E7CFC">
        <w:t>, sentenza del 25 giugno 1996, </w:t>
      </w:r>
      <w:r w:rsidRPr="006E7CFC">
        <w:rPr>
          <w:i/>
          <w:iCs/>
        </w:rPr>
        <w:t>Raccolta delle sentenze e decisioni </w:t>
      </w:r>
      <w:r w:rsidRPr="006E7CFC">
        <w:t>1996 </w:t>
      </w:r>
      <w:r w:rsidRPr="006E7CFC">
        <w:noBreakHyphen/>
        <w:t> III, p. 846, § 36; </w:t>
      </w:r>
      <w:proofErr w:type="spellStart"/>
      <w:r w:rsidRPr="006E7CFC">
        <w:rPr>
          <w:i/>
          <w:iCs/>
        </w:rPr>
        <w:t>Brumărescu</w:t>
      </w:r>
      <w:proofErr w:type="spellEnd"/>
      <w:r w:rsidRPr="006E7CFC">
        <w:rPr>
          <w:i/>
          <w:iCs/>
        </w:rPr>
        <w:t xml:space="preserve"> c. Romania </w:t>
      </w:r>
      <w:r w:rsidRPr="006E7CFC">
        <w:t>[GC], n. </w:t>
      </w:r>
      <w:hyperlink r:id="rId10" w:anchor="{%22appno%22:[%2228342/95%22]}" w:tgtFrame="_blank" w:history="1">
        <w:r w:rsidRPr="006E7CFC">
          <w:rPr>
            <w:rStyle w:val="Collegamentoipertestuale"/>
          </w:rPr>
          <w:t>28342/95</w:t>
        </w:r>
      </w:hyperlink>
      <w:r w:rsidRPr="006E7CFC">
        <w:t> , § 50, CEDU 1999 </w:t>
      </w:r>
      <w:r w:rsidRPr="006E7CFC">
        <w:noBreakHyphen/>
        <w:t> VII; e </w:t>
      </w:r>
      <w:r w:rsidRPr="006E7CFC">
        <w:rPr>
          <w:i/>
          <w:iCs/>
        </w:rPr>
        <w:t xml:space="preserve">Association </w:t>
      </w:r>
      <w:proofErr w:type="spellStart"/>
      <w:r w:rsidRPr="006E7CFC">
        <w:rPr>
          <w:i/>
          <w:iCs/>
        </w:rPr>
        <w:t>Ekin</w:t>
      </w:r>
      <w:proofErr w:type="spellEnd"/>
      <w:r w:rsidRPr="006E7CFC">
        <w:rPr>
          <w:i/>
          <w:iCs/>
        </w:rPr>
        <w:t xml:space="preserve"> c. Francia </w:t>
      </w:r>
      <w:r w:rsidRPr="006E7CFC">
        <w:t>(</w:t>
      </w:r>
      <w:proofErr w:type="spellStart"/>
      <w:r w:rsidRPr="006E7CFC">
        <w:t>dec</w:t>
      </w:r>
      <w:proofErr w:type="spellEnd"/>
      <w:r w:rsidRPr="006E7CFC">
        <w:t>.), n. </w:t>
      </w:r>
      <w:hyperlink r:id="rId11" w:anchor="{%22appno%22:[%2239288/98%22]}" w:tgtFrame="_blank" w:history="1">
        <w:r w:rsidRPr="006E7CFC">
          <w:rPr>
            <w:rStyle w:val="Collegamentoipertestuale"/>
          </w:rPr>
          <w:t>39288/98</w:t>
        </w:r>
      </w:hyperlink>
      <w:r w:rsidRPr="006E7CFC">
        <w:t> , 18 gennaio 2000).  </w:t>
      </w:r>
    </w:p>
    <w:p w14:paraId="57FC52CD" w14:textId="77777777" w:rsidR="006E7CFC" w:rsidRPr="006E7CFC" w:rsidRDefault="006E7CFC" w:rsidP="006E7CFC">
      <w:pPr>
        <w:jc w:val="both"/>
      </w:pPr>
      <w:r w:rsidRPr="006E7CFC">
        <w:t>63. La Corte ritiene che l'argomento del Governo secondo cui la ricorrente avrebbe perso il suo status di vittima sollevi interrogativi sulle disposizioni del diritto penale francese in materia di schiavitù, servitù e lavoro forzato o obbligatorio e sul modo in cui tali disposizioni vengono interpretate dai giudici nazionali. Tali interrogativi sono strettamente connessi al merito della doglianza della ricorrente. La Corte ritiene pertanto che debbano essere esaminati alla luce della disposizione sostanziale della Convenzione invocata dalla ricorrente (si vedano, in particolare, </w:t>
      </w:r>
      <w:r w:rsidRPr="006E7CFC">
        <w:rPr>
          <w:i/>
          <w:iCs/>
        </w:rPr>
        <w:t>Airey c. Irlanda </w:t>
      </w:r>
      <w:r w:rsidRPr="006E7CFC">
        <w:t>, sentenza del 9 ottobre 1979, serie A n. 32; </w:t>
      </w:r>
      <w:proofErr w:type="spellStart"/>
      <w:r w:rsidRPr="006E7CFC">
        <w:rPr>
          <w:i/>
          <w:iCs/>
        </w:rPr>
        <w:t>Gnahoré</w:t>
      </w:r>
      <w:proofErr w:type="spellEnd"/>
      <w:r w:rsidRPr="006E7CFC">
        <w:rPr>
          <w:i/>
          <w:iCs/>
        </w:rPr>
        <w:t xml:space="preserve"> c. Francia </w:t>
      </w:r>
      <w:r w:rsidRPr="006E7CFC">
        <w:t>, n. </w:t>
      </w:r>
      <w:hyperlink r:id="rId12" w:anchor="{%22appno%22:[%2240031/98%22]}" w:tgtFrame="_blank" w:history="1">
        <w:r w:rsidRPr="006E7CFC">
          <w:rPr>
            <w:rStyle w:val="Collegamentoipertestuale"/>
          </w:rPr>
          <w:t>40031/98</w:t>
        </w:r>
      </w:hyperlink>
      <w:r w:rsidRPr="006E7CFC">
        <w:t> , § 26, CEDU 2000 </w:t>
      </w:r>
      <w:r w:rsidRPr="006E7CFC">
        <w:noBreakHyphen/>
        <w:t> IX; e </w:t>
      </w:r>
      <w:proofErr w:type="spellStart"/>
      <w:r w:rsidRPr="006E7CFC">
        <w:rPr>
          <w:i/>
          <w:iCs/>
        </w:rPr>
        <w:t>Isayeva</w:t>
      </w:r>
      <w:proofErr w:type="spellEnd"/>
      <w:r w:rsidRPr="006E7CFC">
        <w:rPr>
          <w:i/>
          <w:iCs/>
        </w:rPr>
        <w:t xml:space="preserve"> c. Russia </w:t>
      </w:r>
      <w:r w:rsidRPr="006E7CFC">
        <w:t>, n. </w:t>
      </w:r>
      <w:hyperlink r:id="rId13" w:anchor="{%22appno%22:[%2257950/00%22]}" w:tgtFrame="_blank" w:history="1">
        <w:r w:rsidRPr="006E7CFC">
          <w:rPr>
            <w:rStyle w:val="Collegamentoipertestuale"/>
          </w:rPr>
          <w:t>57950/00</w:t>
        </w:r>
      </w:hyperlink>
      <w:r w:rsidRPr="006E7CFC">
        <w:t> , § 161, 24 febbraio 2005).  </w:t>
      </w:r>
      <w:r w:rsidRPr="006E7CFC">
        <w:rPr>
          <w:b/>
          <w:bCs/>
          <w:i/>
          <w:iCs/>
        </w:rPr>
        <w:t> </w:t>
      </w:r>
      <w:r w:rsidRPr="006E7CFC">
        <w:t> </w:t>
      </w:r>
    </w:p>
    <w:p w14:paraId="0601696E" w14:textId="77777777" w:rsidR="006E7CFC" w:rsidRPr="006E7CFC" w:rsidRDefault="006E7CFC" w:rsidP="006E7CFC">
      <w:pPr>
        <w:jc w:val="both"/>
      </w:pPr>
      <w:r w:rsidRPr="006E7CFC">
        <w:rPr>
          <w:b/>
          <w:bCs/>
        </w:rPr>
        <w:t>B. I meriti  </w:t>
      </w:r>
    </w:p>
    <w:p w14:paraId="7F364419" w14:textId="77777777" w:rsidR="006E7CFC" w:rsidRPr="006E7CFC" w:rsidRDefault="006E7CFC" w:rsidP="006E7CFC">
      <w:pPr>
        <w:jc w:val="both"/>
      </w:pPr>
      <w:r w:rsidRPr="006E7CFC">
        <w:rPr>
          <w:i/>
          <w:iCs/>
        </w:rPr>
        <w:t>1. Applicabilità dell'articolo 4 e degli obblighi positivi  </w:t>
      </w:r>
    </w:p>
    <w:p w14:paraId="5FDF7A8D" w14:textId="77777777" w:rsidR="006E7CFC" w:rsidRPr="006E7CFC" w:rsidRDefault="006E7CFC" w:rsidP="006E7CFC">
      <w:pPr>
        <w:jc w:val="both"/>
      </w:pPr>
      <w:r w:rsidRPr="006E7CFC">
        <w:t>64. La Corte rileva che il Governo non contesta l'applicabilità dell'articolo 4 al caso di specie.  </w:t>
      </w:r>
    </w:p>
    <w:p w14:paraId="1B6D5CA6" w14:textId="77777777" w:rsidR="006E7CFC" w:rsidRPr="006E7CFC" w:rsidRDefault="006E7CFC" w:rsidP="006E7CFC">
      <w:pPr>
        <w:jc w:val="both"/>
      </w:pPr>
      <w:r w:rsidRPr="006E7CFC">
        <w:t>65. La ricorrente riteneva che lo sfruttamento a cui era stata sottoposta quando era minorenne costituisse un inadempimento da parte dello Stato del suo obbligo positivo ai sensi degli articoli 1 e 4 della Convenzione, considerati congiuntamente, di adottare adeguate disposizioni di diritto penale per prevenire e punire efficacemente gli autori di tali atti.  </w:t>
      </w:r>
    </w:p>
    <w:p w14:paraId="4D881596" w14:textId="77777777" w:rsidR="006E7CFC" w:rsidRPr="006E7CFC" w:rsidRDefault="006E7CFC" w:rsidP="006E7CFC">
      <w:pPr>
        <w:jc w:val="both"/>
      </w:pPr>
      <w:r w:rsidRPr="006E7CFC">
        <w:t>66. In assenza di pronunce in merito all'articolo 4, la Corte ha fatto riferimento in dettaglio alla giurisprudenza della Corte sugli obblighi positivi degli Stati in relazione agli articoli 3 e 8 (</w:t>
      </w:r>
      <w:proofErr w:type="spellStart"/>
      <w:r w:rsidRPr="006E7CFC">
        <w:t>cfr</w:t>
      </w:r>
      <w:proofErr w:type="spellEnd"/>
      <w:r w:rsidRPr="006E7CFC">
        <w:t> </w:t>
      </w:r>
      <w:r w:rsidRPr="006E7CFC">
        <w:rPr>
          <w:i/>
          <w:iCs/>
        </w:rPr>
        <w:t>. X e Y contro Paesi Bassi </w:t>
      </w:r>
      <w:r w:rsidRPr="006E7CFC">
        <w:t>, sentenza del 26 marzo 1985, serie A n. 91; </w:t>
      </w:r>
      <w:r w:rsidRPr="006E7CFC">
        <w:rPr>
          <w:i/>
          <w:iCs/>
        </w:rPr>
        <w:t>A. contro Regno Unito </w:t>
      </w:r>
      <w:r w:rsidRPr="006E7CFC">
        <w:t>, sentenza del 23 settembre 1998, </w:t>
      </w:r>
      <w:proofErr w:type="spellStart"/>
      <w:r w:rsidRPr="006E7CFC">
        <w:rPr>
          <w:i/>
          <w:iCs/>
        </w:rPr>
        <w:t>Recueil</w:t>
      </w:r>
      <w:proofErr w:type="spellEnd"/>
      <w:r w:rsidRPr="006E7CFC">
        <w:rPr>
          <w:i/>
          <w:iCs/>
        </w:rPr>
        <w:t> </w:t>
      </w:r>
      <w:r w:rsidRPr="006E7CFC">
        <w:t>1998 </w:t>
      </w:r>
      <w:r w:rsidRPr="006E7CFC">
        <w:noBreakHyphen/>
        <w:t> VI; e </w:t>
      </w:r>
      <w:r w:rsidRPr="006E7CFC">
        <w:rPr>
          <w:i/>
          <w:iCs/>
        </w:rPr>
        <w:t>MC contro Bulgaria </w:t>
      </w:r>
      <w:r w:rsidRPr="006E7CFC">
        <w:t>, n. </w:t>
      </w:r>
      <w:hyperlink r:id="rId14" w:anchor="{%22appno%22:[%2239272/98%22]}" w:tgtFrame="_blank" w:history="1">
        <w:r w:rsidRPr="006E7CFC">
          <w:rPr>
            <w:rStyle w:val="Collegamentoipertestuale"/>
          </w:rPr>
          <w:t>39272/98</w:t>
        </w:r>
      </w:hyperlink>
      <w:r w:rsidRPr="006E7CFC">
        <w:t> , CEDU 2003 </w:t>
      </w:r>
      <w:r w:rsidRPr="006E7CFC">
        <w:noBreakHyphen/>
        <w:t> XII).    </w:t>
      </w:r>
    </w:p>
    <w:p w14:paraId="78B0E7B1" w14:textId="77777777" w:rsidR="006E7CFC" w:rsidRPr="006E7CFC" w:rsidRDefault="006E7CFC" w:rsidP="006E7CFC">
      <w:pPr>
        <w:jc w:val="both"/>
      </w:pPr>
      <w:r w:rsidRPr="006E7CFC">
        <w:t>67. Ha aggiunto che, nei vari casi in questione, gli Stati convenuti erano stati ritenuti responsabili per non aver istituito, in applicazione dell'articolo 1 della Convenzione, un sistema di azione penale e di sanzione che garantisse una tutela concreta ed effettiva dei diritti garantiti dagli articoli 3 e/o 8 contro le azioni dei privati.  </w:t>
      </w:r>
    </w:p>
    <w:p w14:paraId="35B56717" w14:textId="77777777" w:rsidR="006E7CFC" w:rsidRPr="006E7CFC" w:rsidRDefault="006E7CFC" w:rsidP="006E7CFC">
      <w:pPr>
        <w:jc w:val="both"/>
      </w:pPr>
      <w:r w:rsidRPr="006E7CFC">
        <w:t>68. Ha sottolineato che tale obbligo riguardava le situazioni in cui le autorità statali erano state criticate per non aver adottato misure adeguate per impedire l'esistenza della situazione contestata o per limitarne gli effetti. Inoltre, la portata dell'obbligo positivo di protezione dello Stato poteva variare a causa di carenze del suo ordinamento giuridico, a seconda di fattori quali l'aspetto del diritto in questione, la gravità del reato commesso dal privato interessato o la particolare vulnerabilità della vittima. Questo era precisamente l'oggetto della sua domanda, nel contesto specifico della tutela dei diritti dei minori ai sensi dell'articolo 4.  </w:t>
      </w:r>
    </w:p>
    <w:p w14:paraId="0B40A584" w14:textId="77777777" w:rsidR="006E7CFC" w:rsidRPr="006E7CFC" w:rsidRDefault="006E7CFC" w:rsidP="006E7CFC">
      <w:pPr>
        <w:jc w:val="both"/>
      </w:pPr>
      <w:r w:rsidRPr="006E7CFC">
        <w:t>69. La ricorrente ha aggiunto che, in assenza di un adeguato meccanismo di diritto penale per prevenire e punire gli autori diretti di presunti maltrattamenti, non si poteva sostenere che un procedimento civile volto a riparare il danno subito fosse sufficiente a fornirle un'adeguata protezione contro possibili aggressioni alla sua integrità.  </w:t>
      </w:r>
    </w:p>
    <w:p w14:paraId="4A1A695B" w14:textId="77777777" w:rsidR="006E7CFC" w:rsidRPr="006E7CFC" w:rsidRDefault="006E7CFC" w:rsidP="006E7CFC">
      <w:pPr>
        <w:jc w:val="both"/>
      </w:pPr>
      <w:r w:rsidRPr="006E7CFC">
        <w:lastRenderedPageBreak/>
        <w:t>70. Ha ritenuto che il diritto a non essere tenuti in servitù, sancito dall'articolo 4 § 1 della Convenzione, fosse un diritto assoluto, che non ammetteva eccezioni in nessuna circostanza. Ha osservato che le pratiche vietate dall'articolo 4 erano anche oggetto di specifiche convenzioni internazionali che si applicavano sia ai minori che agli adulti.  </w:t>
      </w:r>
    </w:p>
    <w:p w14:paraId="7248AEEF" w14:textId="77777777" w:rsidR="006E7CFC" w:rsidRPr="006E7CFC" w:rsidRDefault="006E7CFC" w:rsidP="006E7CFC">
      <w:pPr>
        <w:jc w:val="both"/>
      </w:pPr>
      <w:r w:rsidRPr="006E7CFC">
        <w:t>71. Di conseguenza, il ricorrente riteneva che gli Stati avessero un obbligo positivo, insito nell'articolo 4 della Convenzione, di adottare disposizioni concrete di diritto penale che avrebbero scoraggiato tali reati, supportate da meccanismi di applicazione della legge per la prevenzione, l'individuazione e la punizione delle violazioni di tali disposizioni.  </w:t>
      </w:r>
    </w:p>
    <w:p w14:paraId="696BEFB9" w14:textId="77777777" w:rsidR="006E7CFC" w:rsidRPr="006E7CFC" w:rsidRDefault="006E7CFC" w:rsidP="006E7CFC">
      <w:pPr>
        <w:jc w:val="both"/>
      </w:pPr>
      <w:r w:rsidRPr="006E7CFC">
        <w:t>72. Ha inoltre osservato che, poiché la procura non aveva ritenuto necessario presentare ricorso per cassazione per motivi di interesse pubblico, l'assoluzione dei coniugi B. dai reati di cui agli articoli 225-13 e 225-14 del Codice penale era divenuta definitiva. Di conseguenza, la corte d'appello a cui era stato rinviato il caso dopo l'annullamento della sentenza iniziale non poteva emettere un verdetto di colpevolezza né, </w:t>
      </w:r>
      <w:r w:rsidRPr="006E7CFC">
        <w:rPr>
          <w:i/>
          <w:iCs/>
        </w:rPr>
        <w:t>a fortiori </w:t>
      </w:r>
      <w:r w:rsidRPr="006E7CFC">
        <w:t>, imporre una pena, ma poteva solo decidere se accordare un risarcimento danni civile. Ha ritenuto che la mera constatazione che gli elementi costitutivi del reato di cui all'articolo 225-13 del Codice penale erano stati accertati e l'imposizione di una multa e di un risarcimento danni non potesse essere considerata un riconoscimento, espresso o sostanziale, di una violazione dell'articolo 4 della Convenzione </w:t>
      </w:r>
      <w:r w:rsidRPr="006E7CFC">
        <w:rPr>
          <w:i/>
          <w:iCs/>
        </w:rPr>
        <w:t>.  </w:t>
      </w:r>
    </w:p>
    <w:p w14:paraId="6CD8716F" w14:textId="77777777" w:rsidR="006E7CFC" w:rsidRPr="006E7CFC" w:rsidRDefault="006E7CFC" w:rsidP="006E7CFC">
      <w:pPr>
        <w:jc w:val="both"/>
      </w:pPr>
      <w:r w:rsidRPr="006E7CFC">
        <w:t>73. Per quanto riguarda i possibili obblighi positivi, il Governo ha ammesso che, se si dovesse applicare al caso di specie la linea adottata dalla Commissione europea dei diritti dell'uomo nella </w:t>
      </w:r>
      <w:r w:rsidRPr="006E7CFC">
        <w:rPr>
          <w:i/>
          <w:iCs/>
        </w:rPr>
        <w:t>sentenza X e Y contro Paesi Bassi </w:t>
      </w:r>
      <w:r w:rsidRPr="006E7CFC">
        <w:t>(citata sopra), allora sembrerebbe che essi esistano effettivamente. Ha tuttavia sottolineato che gli Stati dispongono di un certo margine di apprezzamento quando si tratta di intervenire nella sfera dei rapporti tra individui.  </w:t>
      </w:r>
    </w:p>
    <w:p w14:paraId="46849860" w14:textId="77777777" w:rsidR="006E7CFC" w:rsidRPr="006E7CFC" w:rsidRDefault="006E7CFC" w:rsidP="006E7CFC">
      <w:pPr>
        <w:jc w:val="both"/>
      </w:pPr>
      <w:r w:rsidRPr="006E7CFC">
        <w:t>74. A questo proposito, essi hanno fatto riferimento alla giurisprudenza della Corte, e in particolare alle sentenze </w:t>
      </w:r>
      <w:r w:rsidRPr="006E7CFC">
        <w:rPr>
          <w:i/>
          <w:iCs/>
        </w:rPr>
        <w:t>Calvelli e Ciglio c. Italia </w:t>
      </w:r>
      <w:r w:rsidRPr="006E7CFC">
        <w:t>([GC], n. </w:t>
      </w:r>
      <w:hyperlink r:id="rId15" w:anchor="{%22appno%22:[%2232967/96%22]}" w:tgtFrame="_blank" w:history="1">
        <w:r w:rsidRPr="006E7CFC">
          <w:rPr>
            <w:rStyle w:val="Collegamentoipertestuale"/>
          </w:rPr>
          <w:t>32967/96</w:t>
        </w:r>
      </w:hyperlink>
      <w:r w:rsidRPr="006E7CFC">
        <w:t> , CEDU 2002-I); </w:t>
      </w:r>
      <w:r w:rsidRPr="006E7CFC">
        <w:rPr>
          <w:i/>
          <w:iCs/>
        </w:rPr>
        <w:t>A. c. Regno Unito </w:t>
      </w:r>
      <w:r w:rsidRPr="006E7CFC">
        <w:t>, citata sopra; e </w:t>
      </w:r>
      <w:r w:rsidRPr="006E7CFC">
        <w:rPr>
          <w:i/>
          <w:iCs/>
        </w:rPr>
        <w:t>Z e altri c. Regno Unito </w:t>
      </w:r>
      <w:r w:rsidRPr="006E7CFC">
        <w:t>([GC], n. </w:t>
      </w:r>
      <w:hyperlink r:id="rId16" w:anchor="{%22appno%22:[%2229392/95%22]}" w:tgtFrame="_blank" w:history="1">
        <w:r w:rsidRPr="006E7CFC">
          <w:rPr>
            <w:rStyle w:val="Collegamentoipertestuale"/>
          </w:rPr>
          <w:t>29392/95</w:t>
        </w:r>
      </w:hyperlink>
      <w:r w:rsidRPr="006E7CFC">
        <w:t> , § 109, CEDU 2001-V), nonché alla decisione </w:t>
      </w:r>
      <w:r w:rsidRPr="006E7CFC">
        <w:rPr>
          <w:i/>
          <w:iCs/>
        </w:rPr>
        <w:t>GG c. Italia </w:t>
      </w:r>
      <w:r w:rsidRPr="006E7CFC">
        <w:t>((</w:t>
      </w:r>
      <w:proofErr w:type="spellStart"/>
      <w:r w:rsidRPr="006E7CFC">
        <w:t>dec</w:t>
      </w:r>
      <w:proofErr w:type="spellEnd"/>
      <w:r w:rsidRPr="006E7CFC">
        <w:t>.), n. </w:t>
      </w:r>
      <w:hyperlink r:id="rId17" w:anchor="{%22appno%22:[%2234574/97%22]}" w:tgtFrame="_blank" w:history="1">
        <w:r w:rsidRPr="006E7CFC">
          <w:rPr>
            <w:rStyle w:val="Collegamentoipertestuale"/>
          </w:rPr>
          <w:t>34574/97</w:t>
        </w:r>
      </w:hyperlink>
      <w:r w:rsidRPr="006E7CFC">
        <w:t> , 10 ottobre 2002) in cui la Corte aveva rilevato, in relazione all'articolo 3, che "il procedimento penale non rappresenta l'unico rimedio effettivo in casi di questo tipo, ma il procedimento civile, che consente di ottenere un risarcimento per il danno subito, deve in linea di principio essere accessibile ai minori che hanno subito maltrattamenti".  </w:t>
      </w:r>
    </w:p>
    <w:p w14:paraId="67D667D3" w14:textId="77777777" w:rsidR="006E7CFC" w:rsidRPr="006E7CFC" w:rsidRDefault="006E7CFC" w:rsidP="006E7CFC">
      <w:pPr>
        <w:jc w:val="both"/>
      </w:pPr>
      <w:r w:rsidRPr="006E7CFC">
        <w:t>75. Su tale base, il Governo ha sostenuto che, nel caso di specie, il procedimento dinanzi ai tribunali penali che ha portato al pagamento dei danni era sufficiente ai sensi dell'articolo 4 per ottemperare a qualsiasi obbligo positivo derivante dalla Convenzione.  </w:t>
      </w:r>
    </w:p>
    <w:p w14:paraId="2759F866" w14:textId="77777777" w:rsidR="006E7CFC" w:rsidRPr="006E7CFC" w:rsidRDefault="006E7CFC" w:rsidP="006E7CFC">
      <w:pPr>
        <w:jc w:val="both"/>
      </w:pPr>
      <w:r w:rsidRPr="006E7CFC">
        <w:t>76. In subordine, il Governo ha ritenuto che in ogni caso il diritto penale francese adempisse a tutti gli obblighi positivi derivanti dall'articolo 4 della Convenzione. Esso ha sostenuto che la formulazione degli articoli 225-13 e 225-14 del Codice penale consentiva di combattere ogni forma di sfruttamento del lavoro ai sensi dell'articolo 4. Ha sottolineato che tali disposizioni penali avevano già dato luogo, all'epoca dei fatti lamentati dal ricorrente, a diverse pronunce penali, stabilendo così una giurisprudenza, e che, da allora, avevano dato luogo a diverse altre decisioni nello stesso senso.  </w:t>
      </w:r>
    </w:p>
    <w:p w14:paraId="419B265D" w14:textId="77777777" w:rsidR="006E7CFC" w:rsidRPr="006E7CFC" w:rsidRDefault="006E7CFC" w:rsidP="006E7CFC">
      <w:pPr>
        <w:jc w:val="both"/>
      </w:pPr>
      <w:r w:rsidRPr="006E7CFC">
        <w:lastRenderedPageBreak/>
        <w:t>77. La Corte sottolinea che è già stato stabilito che, per quanto riguarda alcune disposizioni della Convenzione, il fatto che uno Stato si astenga dal violare i diritti garantiti non è sufficiente per concludere che esso abbia rispettato gli obblighi che gli incombono ai sensi dell'articolo 1 della Convenzione.  </w:t>
      </w:r>
    </w:p>
    <w:p w14:paraId="781B984C" w14:textId="77777777" w:rsidR="006E7CFC" w:rsidRPr="006E7CFC" w:rsidRDefault="006E7CFC" w:rsidP="006E7CFC">
      <w:pPr>
        <w:jc w:val="both"/>
      </w:pPr>
      <w:r w:rsidRPr="006E7CFC">
        <w:t>78. Pertanto, per quanto riguarda l'articolo 8 della Convenzione, essa ha stabilito già nel 1979:  </w:t>
      </w:r>
    </w:p>
    <w:p w14:paraId="55AE85A2" w14:textId="77777777" w:rsidR="006E7CFC" w:rsidRPr="006E7CFC" w:rsidRDefault="006E7CFC" w:rsidP="006E7CFC">
      <w:pPr>
        <w:jc w:val="both"/>
      </w:pPr>
      <w:r w:rsidRPr="006E7CFC">
        <w:t>“... Tuttavia, ciò non obbliga semplicemente lo Stato ad astenersi da tale ingerenza: oltre a questo impegno principalmente negativo, possono esserci obblighi positivi inerenti a un effettivo '</w:t>
      </w:r>
      <w:proofErr w:type="spellStart"/>
      <w:r w:rsidRPr="006E7CFC">
        <w:t>rispetto'</w:t>
      </w:r>
      <w:proofErr w:type="spellEnd"/>
      <w:r w:rsidRPr="006E7CFC">
        <w:t xml:space="preserve"> della vita familiare.</w:t>
      </w:r>
    </w:p>
    <w:p w14:paraId="23497298" w14:textId="77777777" w:rsidR="006E7CFC" w:rsidRPr="006E7CFC" w:rsidRDefault="006E7CFC" w:rsidP="006E7CFC">
      <w:pPr>
        <w:jc w:val="both"/>
      </w:pPr>
      <w:r w:rsidRPr="006E7CFC">
        <w:t>Ciò significa, tra l'altro, che quando lo Stato determina nel suo ordinamento giuridico interno il regime applicabile a determinati legami familiari, come quelli tra una madre nubile e il suo bambino, deve agire in modo da consentire agli interessati di condurre una vita familiare normale. Come previsto dall'articolo 8, il rispetto della vita familiare implica in particolare, secondo la Corte, l'esistenza nel diritto interno di garanzie giuridiche che rendano possibile, fin dal momento della nascita, l'integrazione del bambino nella sua famiglia. A tale riguardo, lo Stato ha la possibilità di scegliere tra diversi mezzi, ma una legge che non soddisfi tale esigenza viola il paragrafo 1 dell'articolo 8, senza che vi sia motivo di esaminarla ai sensi del paragrafo 2. ...” ( </w:t>
      </w:r>
      <w:proofErr w:type="spellStart"/>
      <w:r w:rsidRPr="006E7CFC">
        <w:rPr>
          <w:i/>
          <w:iCs/>
        </w:rPr>
        <w:t>Marckx</w:t>
      </w:r>
      <w:proofErr w:type="spellEnd"/>
      <w:r w:rsidRPr="006E7CFC">
        <w:rPr>
          <w:i/>
          <w:iCs/>
        </w:rPr>
        <w:t xml:space="preserve"> c. Belgio </w:t>
      </w:r>
      <w:r w:rsidRPr="006E7CFC">
        <w:t>, sentenza del 13 giugno 1979, Serie A n. 31, pp. 14-15, § 31) </w:t>
      </w:r>
    </w:p>
    <w:p w14:paraId="53BDE36B" w14:textId="77777777" w:rsidR="006E7CFC" w:rsidRPr="006E7CFC" w:rsidRDefault="006E7CFC" w:rsidP="006E7CFC">
      <w:pPr>
        <w:jc w:val="both"/>
      </w:pPr>
      <w:r w:rsidRPr="006E7CFC">
        <w:t>79. Successivamente ha chiarito questo concetto:  </w:t>
      </w:r>
    </w:p>
    <w:p w14:paraId="36CA7489" w14:textId="77777777" w:rsidR="006E7CFC" w:rsidRPr="006E7CFC" w:rsidRDefault="006E7CFC" w:rsidP="006E7CFC">
      <w:pPr>
        <w:jc w:val="both"/>
      </w:pPr>
      <w:r w:rsidRPr="006E7CFC">
        <w:t>“Gli obblighi positivi dello Stato sono inerenti al diritto al rispetto effettivo della vita privata ai sensi dell'articolo 8; tali obblighi possono comportare l'adozione di misure anche nell'ambito delle relazioni tra individui. Mentre la scelta dei mezzi per garantire il rispetto dell'articolo 8 nell'ambito della protezione contro gli atti individuali rientra in linea di principio nel margine di apprezzamento dello Stato, un'efficace deterrenza contro atti gravi come lo stupro, in cui sono in gioco valori fondamentali e aspetti essenziali della vita privata, richiede disposizioni di diritto penale efficaci. I minori e gli altri individui vulnerabili, in particolare, hanno diritto a una protezione effettiva.” ( </w:t>
      </w:r>
      <w:r w:rsidRPr="006E7CFC">
        <w:rPr>
          <w:i/>
          <w:iCs/>
        </w:rPr>
        <w:t>X e Y contro Paesi Bassi </w:t>
      </w:r>
      <w:r w:rsidRPr="006E7CFC">
        <w:t>, cit., pp. 11-13, §§ 23, 24 e 27; </w:t>
      </w:r>
      <w:r w:rsidRPr="006E7CFC">
        <w:rPr>
          <w:i/>
          <w:iCs/>
        </w:rPr>
        <w:t>August contro Regno Unito </w:t>
      </w:r>
      <w:r w:rsidRPr="006E7CFC">
        <w:t>(</w:t>
      </w:r>
      <w:proofErr w:type="spellStart"/>
      <w:r w:rsidRPr="006E7CFC">
        <w:t>dec</w:t>
      </w:r>
      <w:proofErr w:type="spellEnd"/>
      <w:r w:rsidRPr="006E7CFC">
        <w:t>.), n. </w:t>
      </w:r>
      <w:hyperlink r:id="rId18" w:anchor="{%22appno%22:[%2236505/02%22]}" w:tgtFrame="_blank" w:history="1">
        <w:r w:rsidRPr="006E7CFC">
          <w:rPr>
            <w:rStyle w:val="Collegamentoipertestuale"/>
          </w:rPr>
          <w:t>36505/02</w:t>
        </w:r>
      </w:hyperlink>
      <w:r w:rsidRPr="006E7CFC">
        <w:t> , 21 gennaio 2003; e </w:t>
      </w:r>
      <w:r w:rsidRPr="006E7CFC">
        <w:rPr>
          <w:i/>
          <w:iCs/>
        </w:rPr>
        <w:t>MC contro Bulgaria </w:t>
      </w:r>
      <w:r w:rsidRPr="006E7CFC">
        <w:t>, cit., § 150)</w:t>
      </w:r>
    </w:p>
    <w:p w14:paraId="0FE57E7E" w14:textId="77777777" w:rsidR="006E7CFC" w:rsidRPr="006E7CFC" w:rsidRDefault="006E7CFC" w:rsidP="006E7CFC">
      <w:pPr>
        <w:jc w:val="both"/>
      </w:pPr>
      <w:r w:rsidRPr="006E7CFC">
        <w:t>80. Per quanto riguarda l’articolo 3 della Convenzione, la Corte ha constatato in numerose occasioni che  </w:t>
      </w:r>
    </w:p>
    <w:p w14:paraId="72326FA0" w14:textId="77777777" w:rsidR="006E7CFC" w:rsidRPr="006E7CFC" w:rsidRDefault="006E7CFC" w:rsidP="006E7CFC">
      <w:pPr>
        <w:jc w:val="both"/>
      </w:pPr>
      <w:r w:rsidRPr="006E7CFC">
        <w:t>“... l'obbligo delle Alte Parti Contraenti, ai sensi dell'articolo 1 della Convenzione, di garantire a chiunque si trovi sotto la loro giurisdizione i diritti e le libertà definiti nella Convenzione, congiuntamente all'articolo 3, impone agli Stati di adottare misure volte a garantire che gli individui sotto la loro giurisdizione non siano sottoposti a tortura o a trattamenti o pene inumani o degradanti, compresi i maltrattamenti inflitti da privati.” (vedi </w:t>
      </w:r>
      <w:r w:rsidRPr="006E7CFC">
        <w:rPr>
          <w:i/>
          <w:iCs/>
        </w:rPr>
        <w:t>A. c. Regno Unito </w:t>
      </w:r>
      <w:r w:rsidRPr="006E7CFC">
        <w:t>, citato sopra, p. 2699, § 22; </w:t>
      </w:r>
      <w:r w:rsidRPr="006E7CFC">
        <w:rPr>
          <w:i/>
          <w:iCs/>
        </w:rPr>
        <w:t>Z e altri c. Regno Unito </w:t>
      </w:r>
      <w:r w:rsidRPr="006E7CFC">
        <w:t>, citato sopra, §§ 73-75; </w:t>
      </w:r>
      <w:r w:rsidRPr="006E7CFC">
        <w:rPr>
          <w:i/>
          <w:iCs/>
        </w:rPr>
        <w:t>E. e altri c. Regno Unito </w:t>
      </w:r>
      <w:r w:rsidRPr="006E7CFC">
        <w:t>, n. </w:t>
      </w:r>
      <w:hyperlink r:id="rId19" w:anchor="{%22appno%22:[%2233218/96%22]}" w:tgtFrame="_blank" w:history="1">
        <w:r w:rsidRPr="006E7CFC">
          <w:rPr>
            <w:rStyle w:val="Collegamentoipertestuale"/>
          </w:rPr>
          <w:t>33218/96</w:t>
        </w:r>
      </w:hyperlink>
      <w:r w:rsidRPr="006E7CFC">
        <w:t> , 26 novembre 2002; e </w:t>
      </w:r>
      <w:r w:rsidRPr="006E7CFC">
        <w:rPr>
          <w:i/>
          <w:iCs/>
        </w:rPr>
        <w:t>MC c. Bulgaria </w:t>
      </w:r>
      <w:r w:rsidRPr="006E7CFC">
        <w:t>, citato sopra, § 149) </w:t>
      </w:r>
    </w:p>
    <w:p w14:paraId="13F154C0" w14:textId="77777777" w:rsidR="006E7CFC" w:rsidRPr="006E7CFC" w:rsidRDefault="006E7CFC" w:rsidP="006E7CFC">
      <w:pPr>
        <w:jc w:val="both"/>
      </w:pPr>
      <w:r w:rsidRPr="006E7CFC">
        <w:t> </w:t>
      </w:r>
    </w:p>
    <w:p w14:paraId="2C4CF489" w14:textId="77777777" w:rsidR="006E7CFC" w:rsidRPr="006E7CFC" w:rsidRDefault="006E7CFC" w:rsidP="006E7CFC">
      <w:pPr>
        <w:jc w:val="both"/>
      </w:pPr>
      <w:r w:rsidRPr="006E7CFC">
        <w:lastRenderedPageBreak/>
        <w:t>81. Ha inoltre rilevato che:  </w:t>
      </w:r>
    </w:p>
    <w:p w14:paraId="1F4DFABF" w14:textId="77777777" w:rsidR="006E7CFC" w:rsidRPr="006E7CFC" w:rsidRDefault="006E7CFC" w:rsidP="006E7CFC">
      <w:pPr>
        <w:jc w:val="both"/>
      </w:pPr>
      <w:r w:rsidRPr="006E7CFC">
        <w:t>“I bambini e gli altri individui vulnerabili, in particolare, hanno diritto alla protezione dello Stato, sotto forma di deterrenza effettiva, contro tali gravi violazioni dell’integrità personale.” (vedere, </w:t>
      </w:r>
      <w:proofErr w:type="spellStart"/>
      <w:r w:rsidRPr="006E7CFC">
        <w:rPr>
          <w:i/>
          <w:iCs/>
        </w:rPr>
        <w:t>mutatis</w:t>
      </w:r>
      <w:proofErr w:type="spellEnd"/>
      <w:r w:rsidRPr="006E7CFC">
        <w:rPr>
          <w:i/>
          <w:iCs/>
        </w:rPr>
        <w:t xml:space="preserve"> </w:t>
      </w:r>
      <w:proofErr w:type="spellStart"/>
      <w:r w:rsidRPr="006E7CFC">
        <w:rPr>
          <w:i/>
          <w:iCs/>
        </w:rPr>
        <w:t>mutandis</w:t>
      </w:r>
      <w:proofErr w:type="spellEnd"/>
      <w:r w:rsidRPr="006E7CFC">
        <w:rPr>
          <w:i/>
          <w:iCs/>
        </w:rPr>
        <w:t> </w:t>
      </w:r>
      <w:r w:rsidRPr="006E7CFC">
        <w:t>, </w:t>
      </w:r>
      <w:r w:rsidRPr="006E7CFC">
        <w:rPr>
          <w:i/>
          <w:iCs/>
        </w:rPr>
        <w:t>X e Y contro i Paesi Bassi </w:t>
      </w:r>
      <w:r w:rsidRPr="006E7CFC">
        <w:t>, citato sopra, pp. 11-13, §§ 21-27; </w:t>
      </w:r>
      <w:proofErr w:type="spellStart"/>
      <w:r w:rsidRPr="006E7CFC">
        <w:rPr>
          <w:i/>
          <w:iCs/>
        </w:rPr>
        <w:t>Stubbings</w:t>
      </w:r>
      <w:proofErr w:type="spellEnd"/>
      <w:r w:rsidRPr="006E7CFC">
        <w:rPr>
          <w:i/>
          <w:iCs/>
        </w:rPr>
        <w:t xml:space="preserve"> e altri contro il Regno Unito </w:t>
      </w:r>
      <w:r w:rsidRPr="006E7CFC">
        <w:t>, 22 ottobre 1996, </w:t>
      </w:r>
      <w:r w:rsidRPr="006E7CFC">
        <w:rPr>
          <w:i/>
          <w:iCs/>
        </w:rPr>
        <w:t>Reports </w:t>
      </w:r>
      <w:r w:rsidRPr="006E7CFC">
        <w:t>1996-IV, p. 1505, §§ 62-64; e </w:t>
      </w:r>
      <w:r w:rsidRPr="006E7CFC">
        <w:rPr>
          <w:i/>
          <w:iCs/>
        </w:rPr>
        <w:t>A. contro il Regno Unito </w:t>
      </w:r>
      <w:r w:rsidRPr="006E7CFC">
        <w:t>, citato sopra, nonché la Convenzione delle Nazioni Unite sui diritti del fanciullo, articoli 19 e 37) </w:t>
      </w:r>
    </w:p>
    <w:p w14:paraId="0D993619" w14:textId="77777777" w:rsidR="006E7CFC" w:rsidRPr="006E7CFC" w:rsidRDefault="006E7CFC" w:rsidP="006E7CFC">
      <w:pPr>
        <w:jc w:val="both"/>
      </w:pPr>
      <w:r w:rsidRPr="006E7CFC">
        <w:t>82. La Corte ritiene che, insieme agli articoli 2 e 3, l'articolo 4 della Convenzione sancisca uno dei valori fondamentali delle società democratiche che compongono il Consiglio d'Europa.  </w:t>
      </w:r>
    </w:p>
    <w:p w14:paraId="49BD2636" w14:textId="77777777" w:rsidR="006E7CFC" w:rsidRPr="006E7CFC" w:rsidRDefault="006E7CFC" w:rsidP="006E7CFC">
      <w:pPr>
        <w:jc w:val="both"/>
      </w:pPr>
      <w:r w:rsidRPr="006E7CFC">
        <w:t>83. Essa rileva che la Commissione aveva proposto nel 1983 che si potesse sostenere che la responsabilità di un governo era impegnata nella misura in cui era suo dovere garantire che le norme adottate da un'associazione privata non fossero contrarie alle disposizioni della Convenzione, in particolare quando i tribunali nazionali erano competenti a esaminarne l'applicazione (vedere </w:t>
      </w:r>
      <w:r w:rsidRPr="006E7CFC">
        <w:rPr>
          <w:i/>
          <w:iCs/>
        </w:rPr>
        <w:t>X c. Paesi Bassi </w:t>
      </w:r>
      <w:r w:rsidRPr="006E7CFC">
        <w:t>, n. </w:t>
      </w:r>
      <w:hyperlink r:id="rId20" w:anchor="{%22appno%22:[%229327/81%22]}" w:tgtFrame="_blank" w:history="1">
        <w:r w:rsidRPr="006E7CFC">
          <w:rPr>
            <w:rStyle w:val="Collegamentoipertestuale"/>
          </w:rPr>
          <w:t>9327/81</w:t>
        </w:r>
      </w:hyperlink>
      <w:r w:rsidRPr="006E7CFC">
        <w:t> , decisione della Commissione del 3 maggio 1983, Decisioni e relazioni (DR) 32, pag. 180).  </w:t>
      </w:r>
    </w:p>
    <w:p w14:paraId="786FCA3E" w14:textId="77777777" w:rsidR="006E7CFC" w:rsidRPr="006E7CFC" w:rsidRDefault="006E7CFC" w:rsidP="006E7CFC">
      <w:pPr>
        <w:jc w:val="both"/>
      </w:pPr>
      <w:r w:rsidRPr="006E7CFC">
        <w:t>84. La Corte rileva che, nel riferirsi al caso sopra menzionato, il Governo ha ammesso in udienza che sembravano esistere obblighi positivi rispetto all'articolo 4.  </w:t>
      </w:r>
    </w:p>
    <w:p w14:paraId="73AEAA8D" w14:textId="77777777" w:rsidR="006E7CFC" w:rsidRPr="006E7CFC" w:rsidRDefault="006E7CFC" w:rsidP="006E7CFC">
      <w:pPr>
        <w:jc w:val="both"/>
      </w:pPr>
      <w:r w:rsidRPr="006E7CFC">
        <w:t>85. A questo proposito, essa rileva che l'articolo 4 § 1 della Convenzione sul lavoro forzato, adottata dall'Organizzazione internazionale del lavoro (OIL) il 28 giugno 1930 e ratificata dalla Francia il 24 giugno 1937, prevede:  </w:t>
      </w:r>
    </w:p>
    <w:p w14:paraId="0ED1D125" w14:textId="77777777" w:rsidR="006E7CFC" w:rsidRPr="006E7CFC" w:rsidRDefault="006E7CFC" w:rsidP="006E7CFC">
      <w:pPr>
        <w:jc w:val="both"/>
      </w:pPr>
      <w:r w:rsidRPr="006E7CFC">
        <w:t>“L’autorità competente non impone né consente l’imposizione di lavoro forzato o obbligatorio a beneficio di privati, aziende o associazioni.”</w:t>
      </w:r>
    </w:p>
    <w:p w14:paraId="22513DE7" w14:textId="77777777" w:rsidR="006E7CFC" w:rsidRPr="006E7CFC" w:rsidRDefault="006E7CFC" w:rsidP="006E7CFC">
      <w:pPr>
        <w:jc w:val="both"/>
      </w:pPr>
      <w:r w:rsidRPr="006E7CFC">
        <w:t>86. Inoltre, l'articolo 1 della Convenzione supplementare sull'abolizione della schiavitù, della tratta degli schiavi e delle istituzioni e pratiche analoghe alla schiavitù, adottata il 30 aprile 1956 ed entrata in vigore per la Francia il 26 maggio 1964, stabilisce:  </w:t>
      </w:r>
    </w:p>
    <w:p w14:paraId="21C08902" w14:textId="77777777" w:rsidR="006E7CFC" w:rsidRPr="006E7CFC" w:rsidRDefault="006E7CFC" w:rsidP="006E7CFC">
      <w:pPr>
        <w:jc w:val="both"/>
      </w:pPr>
      <w:r w:rsidRPr="006E7CFC">
        <w:t>“Ciascuno degli Stati parti della presente Convenzione adotterà tutte le misure legislative e di altra natura praticabili e necessarie per giungere progressivamente e il più presto possibile all’abolizione o all’abbandono completo delle seguenti istituzioni e pratiche, laddove esistano ancora e indipendentemente dal fatto che siano o meno coperte dalla definizione di schiavitù contenuta nell’articolo 1 della Convenzione sulla schiavitù firmata a Ginevra il 25 settembre 1926: ... [s]</w:t>
      </w:r>
      <w:proofErr w:type="spellStart"/>
      <w:r w:rsidRPr="006E7CFC">
        <w:t>ervitù</w:t>
      </w:r>
      <w:proofErr w:type="spellEnd"/>
      <w:r w:rsidRPr="006E7CFC">
        <w:t xml:space="preserve"> per debiti, ... [u]n istituzione o pratica mediante la quale un bambino o un giovane di età inferiore ai 18 anni è consegnato da uno o entrambi i suoi genitori naturali o dal suo tutore a un’altra persona, dietro compenso o meno, allo scopo di sfruttarlo o di sfruttarne il lavoro.” </w:t>
      </w:r>
    </w:p>
    <w:p w14:paraId="7254CD24" w14:textId="77777777" w:rsidR="006E7CFC" w:rsidRPr="006E7CFC" w:rsidRDefault="006E7CFC" w:rsidP="006E7CFC">
      <w:pPr>
        <w:jc w:val="both"/>
      </w:pPr>
      <w:r w:rsidRPr="006E7CFC">
        <w:t>87. Inoltre, per quanto riguarda in particolare i minori, l'articolo 19 § 1 della Convenzione internazionale sui diritti del fanciullo del 20 novembre 1989, entrata in vigore per la Francia il 6 settembre 1990, prevede:  </w:t>
      </w:r>
    </w:p>
    <w:p w14:paraId="3A4EDFDB" w14:textId="77777777" w:rsidR="006E7CFC" w:rsidRPr="006E7CFC" w:rsidRDefault="006E7CFC" w:rsidP="006E7CFC">
      <w:pPr>
        <w:jc w:val="both"/>
      </w:pPr>
      <w:r w:rsidRPr="006E7CFC">
        <w:lastRenderedPageBreak/>
        <w:t>“Gli Stati parti adottano ogni misura legislativa, amministrativa, sociale ed educativa adeguata per proteggere il fanciullo contro ogni forma di violenza, di oltraggio o di brutalità fisica o mentale, ..., di maltrattamenti o di sfruttamento, compresa la violenza sessuale, per tutto il tempo in cui è affidato ai suoi genitori, al suo tutore legale o a ogni altra persona che abbia cura del fanciullo.”</w:t>
      </w:r>
    </w:p>
    <w:p w14:paraId="7EEE9F1C" w14:textId="77777777" w:rsidR="006E7CFC" w:rsidRPr="006E7CFC" w:rsidRDefault="006E7CFC" w:rsidP="006E7CFC">
      <w:pPr>
        <w:jc w:val="both"/>
      </w:pPr>
      <w:r w:rsidRPr="006E7CFC">
        <w:t>L'articolo 32 prevede:</w:t>
      </w:r>
    </w:p>
    <w:p w14:paraId="235AEB1C" w14:textId="77777777" w:rsidR="006E7CFC" w:rsidRPr="006E7CFC" w:rsidRDefault="006E7CFC" w:rsidP="006E7CFC">
      <w:pPr>
        <w:jc w:val="both"/>
      </w:pPr>
      <w:r w:rsidRPr="006E7CFC">
        <w:t>“1. Gli Stati parti riconoscono il diritto del fanciullo ad essere protetto contro lo sfruttamento economico e a non essere costretto ad alcun lavoro che comporti rischi o sia suscettibile di porre a repentaglio la sua educazione o di nuocere alla sua salute o al suo sviluppo fisico, mentale, spirituale, morale o sociale.  </w:t>
      </w:r>
    </w:p>
    <w:p w14:paraId="71FA6769" w14:textId="77777777" w:rsidR="006E7CFC" w:rsidRPr="006E7CFC" w:rsidRDefault="006E7CFC" w:rsidP="006E7CFC">
      <w:pPr>
        <w:jc w:val="both"/>
      </w:pPr>
      <w:r w:rsidRPr="006E7CFC">
        <w:t>2. Gli Stati Parte adottano misure legislative, amministrative, sociali ed educative per garantire l'attuazione del presente articolo. A tal fine, e tenendo conto delle disposizioni pertinenti di altri strumenti internazionali, gli Stati Parte devono in particolare:  </w:t>
      </w:r>
    </w:p>
    <w:p w14:paraId="2E5E29F9" w14:textId="77777777" w:rsidR="006E7CFC" w:rsidRPr="006E7CFC" w:rsidRDefault="006E7CFC" w:rsidP="006E7CFC">
      <w:pPr>
        <w:jc w:val="both"/>
      </w:pPr>
      <w:r w:rsidRPr="006E7CFC">
        <w:t>(a) prevedere un'età minima o età minime per l'ammissione al lavoro;  </w:t>
      </w:r>
    </w:p>
    <w:p w14:paraId="6D7CEEA0" w14:textId="77777777" w:rsidR="006E7CFC" w:rsidRPr="006E7CFC" w:rsidRDefault="006E7CFC" w:rsidP="006E7CFC">
      <w:pPr>
        <w:jc w:val="both"/>
      </w:pPr>
      <w:r w:rsidRPr="006E7CFC">
        <w:t>(b) prevedere un'adeguata regolamentazione degli orari e delle condizioni di lavoro;  </w:t>
      </w:r>
    </w:p>
    <w:p w14:paraId="6CDB60AA" w14:textId="77777777" w:rsidR="006E7CFC" w:rsidRPr="006E7CFC" w:rsidRDefault="006E7CFC" w:rsidP="006E7CFC">
      <w:pPr>
        <w:jc w:val="both"/>
      </w:pPr>
      <w:r w:rsidRPr="006E7CFC">
        <w:t>(c) prevedere sanzioni appropriate o altre sanzioni per garantire l’effettiva applicazione del presente articolo.”  </w:t>
      </w:r>
    </w:p>
    <w:p w14:paraId="3718535E" w14:textId="77777777" w:rsidR="006E7CFC" w:rsidRPr="006E7CFC" w:rsidRDefault="006E7CFC" w:rsidP="006E7CFC">
      <w:pPr>
        <w:jc w:val="both"/>
      </w:pPr>
      <w:r w:rsidRPr="006E7CFC">
        <w:t>88. Infine, la Corte osserva che dalle conclusioni dell'Assemblea parlamentare (vedi sopra, "Diritto pertinente") emerge che "gli schiavi di oggi sono prevalentemente donne e di solito lavorano in case private, iniziando come lavoratrici domestiche migranti...".  </w:t>
      </w:r>
    </w:p>
    <w:p w14:paraId="3B430F7F" w14:textId="77777777" w:rsidR="006E7CFC" w:rsidRPr="006E7CFC" w:rsidRDefault="006E7CFC" w:rsidP="006E7CFC">
      <w:pPr>
        <w:jc w:val="both"/>
      </w:pPr>
      <w:r w:rsidRPr="006E7CFC">
        <w:t>89. In tali circostanze, la Corte ritiene che limitare l'osservanza dell'articolo 4 della Convenzione ai soli atti diretti delle autorità statali sarebbe incompatibile con gli strumenti internazionali specificamente interessati a tale questione e equivarrebbe a renderla inefficace. Pertanto, da tale disposizione discende necessariamente che gli Stati hanno obblighi positivi, allo stesso modo di quanto previsto ad esempio dall'articolo 3, di adottare disposizioni di diritto penale che sanzionano le pratiche di cui all'articolo 4 e di applicarle nella pratica (cfr. </w:t>
      </w:r>
      <w:r w:rsidRPr="006E7CFC">
        <w:rPr>
          <w:i/>
          <w:iCs/>
        </w:rPr>
        <w:t>MC c. Bulgaria </w:t>
      </w:r>
      <w:r w:rsidRPr="006E7CFC">
        <w:t>, citata sopra, § 153).  </w:t>
      </w:r>
    </w:p>
    <w:p w14:paraId="16B64684" w14:textId="77777777" w:rsidR="006E7CFC" w:rsidRPr="006E7CFC" w:rsidRDefault="006E7CFC" w:rsidP="006E7CFC">
      <w:pPr>
        <w:jc w:val="both"/>
      </w:pPr>
      <w:r w:rsidRPr="006E7CFC">
        <w:rPr>
          <w:i/>
          <w:iCs/>
        </w:rPr>
        <w:t>2. Presunta violazione dell'articolo 4 della Convenzione  </w:t>
      </w:r>
    </w:p>
    <w:p w14:paraId="69BC0573" w14:textId="77777777" w:rsidR="006E7CFC" w:rsidRPr="006E7CFC" w:rsidRDefault="006E7CFC" w:rsidP="006E7CFC">
      <w:pPr>
        <w:jc w:val="both"/>
      </w:pPr>
      <w:r w:rsidRPr="006E7CFC">
        <w:t>90. Quanto alla violazione dell'articolo 4 della Convenzione, il ricorrente ha osservato fin dall'inizio che il diritto a non essere tenuti in servitù, sancito da tale disposizione, è assoluto, allo stesso titolo del diritto a non essere costretti a svolgere lavori forzati o obbligatori.  </w:t>
      </w:r>
    </w:p>
    <w:p w14:paraId="6D2A0243" w14:textId="77777777" w:rsidR="006E7CFC" w:rsidRPr="006E7CFC" w:rsidRDefault="006E7CFC" w:rsidP="006E7CFC">
      <w:pPr>
        <w:jc w:val="both"/>
      </w:pPr>
      <w:r w:rsidRPr="006E7CFC">
        <w:t>91. Ha affermato che, sebbene la Convenzione non definisca i termini servitù o “lavoro forzato o obbligatorio”, si dovrebbe fare riferimento alle convenzioni internazionali pertinenti in questo campo per determinare il significato di questi concetti, mentre nel caso di specie si doveva attribuire importanza ai criteri stabiliti sia dalle Nazioni Unite che dal Consiglio d’Europa per identificare le forme moderne di schiavitù e servitù, che erano strettamente collegate alla tratta di esseri umani, e alla necessità internazionalmente riconosciuta di garantire ai bambini una protezione speciale in ragione della loro età e vulnerabilità.  </w:t>
      </w:r>
    </w:p>
    <w:p w14:paraId="7FA5BD58" w14:textId="77777777" w:rsidR="006E7CFC" w:rsidRPr="006E7CFC" w:rsidRDefault="006E7CFC" w:rsidP="006E7CFC">
      <w:pPr>
        <w:jc w:val="both"/>
      </w:pPr>
      <w:r w:rsidRPr="006E7CFC">
        <w:lastRenderedPageBreak/>
        <w:t>92. Ha sottolineato che la sua situazione corrispondeva a tre delle quattro istituzioni o pratiche servili di cui all'articolo 1 della Convenzione di Ginevra complementare del 30 aprile 1956, vale a dire la servitù per debiti, la consegna di un bambino o di un adolescente a una terza persona, a titolo oneroso o gratuito, allo scopo di sfruttarne il lavoro, e la servitù della gleba. Ha osservato che non era venuta in Francia per lavorare come domestica, ma che vi era stata costretta a causa della tratta di esseri umani a cui era stata sottoposta dalla signora B., che aveva ottenuto il consenso dei suoi genitori attraverso false promesse.  </w:t>
      </w:r>
    </w:p>
    <w:p w14:paraId="145DE6A9" w14:textId="77777777" w:rsidR="006E7CFC" w:rsidRPr="006E7CFC" w:rsidRDefault="006E7CFC" w:rsidP="006E7CFC">
      <w:pPr>
        <w:jc w:val="both"/>
      </w:pPr>
      <w:r w:rsidRPr="006E7CFC">
        <w:t>La ricorrente ha concluso che tale “consegna” di un bambino da parte del padre, al fine di sfruttarne il lavoro, era simile alla pratica, analoga alla schiavitù, di cui all’articolo 1 (d) della Convenzione supplementare delle Nazioni Unite del 1956.</w:t>
      </w:r>
    </w:p>
    <w:p w14:paraId="7166A773" w14:textId="77777777" w:rsidR="006E7CFC" w:rsidRPr="006E7CFC" w:rsidRDefault="006E7CFC" w:rsidP="006E7CFC">
      <w:pPr>
        <w:jc w:val="both"/>
      </w:pPr>
      <w:r w:rsidRPr="006E7CFC">
        <w:t>93. Il ricorrente ha fatto riferimento anche alla documentazione pubblicata dal Consiglio d'Europa sulla schiavitù domestica e ha sottolineato che i criteri utilizzati includevano la confisca del passaporto dell'individuo, l'assenza di remunerazione o una remunerazione sproporzionata rispetto ai servizi forniti, la privazione della libertà o l'</w:t>
      </w:r>
      <w:proofErr w:type="spellStart"/>
      <w:r w:rsidRPr="006E7CFC">
        <w:t>autoincarcerazione</w:t>
      </w:r>
      <w:proofErr w:type="spellEnd"/>
      <w:r w:rsidRPr="006E7CFC">
        <w:t xml:space="preserve"> e l'isolamento culturale, fisico ed emotivo.  </w:t>
      </w:r>
    </w:p>
    <w:p w14:paraId="0A32E09D" w14:textId="77777777" w:rsidR="006E7CFC" w:rsidRPr="006E7CFC" w:rsidRDefault="006E7CFC" w:rsidP="006E7CFC">
      <w:pPr>
        <w:jc w:val="both"/>
      </w:pPr>
      <w:r w:rsidRPr="006E7CFC">
        <w:t xml:space="preserve">94. Ha aggiunto che dai fatti emergeva chiaramente che la sua situazione non era di natura temporanea o occasionale, come normalmente accadeva con il "lavoro forzato o obbligatorio". La sua libertà di andare e venire era stata limitata, le era stato ritirato il passaporto, il suo status di immigrazione era stato precario prima di diventare illegale, ed era stata inoltre tenuta dai coniugi B. in uno stato di timore di essere arrestata ed espulsa. Riteneva che ciò equivalesse al concetto di </w:t>
      </w:r>
      <w:proofErr w:type="spellStart"/>
      <w:r w:rsidRPr="006E7CFC">
        <w:t>autoincarcerazione</w:t>
      </w:r>
      <w:proofErr w:type="spellEnd"/>
      <w:r w:rsidRPr="006E7CFC">
        <w:t xml:space="preserve"> sopra descritto.  </w:t>
      </w:r>
    </w:p>
    <w:p w14:paraId="5CDFA7FF" w14:textId="77777777" w:rsidR="006E7CFC" w:rsidRPr="006E7CFC" w:rsidRDefault="006E7CFC" w:rsidP="006E7CFC">
      <w:pPr>
        <w:jc w:val="both"/>
      </w:pPr>
      <w:r w:rsidRPr="006E7CFC">
        <w:t>95. Facendo riferimento alle sue condizioni di lavoro e di vita presso l'abitazione del signor e della signora B., ha concluso che lo sfruttamento da parte loro aveva compromesso la sua istruzione e il suo inserimento sociale, nonché lo sviluppo e la libera espressione della sua personalità. Era stata coinvolta la sua identità nel suo complesso, il che era una caratteristica della servitù ma non, in generale, del lavoro forzato o obbligatorio.  </w:t>
      </w:r>
    </w:p>
    <w:p w14:paraId="0B3CCDFD" w14:textId="77777777" w:rsidR="006E7CFC" w:rsidRPr="006E7CFC" w:rsidRDefault="006E7CFC" w:rsidP="006E7CFC">
      <w:pPr>
        <w:jc w:val="both"/>
      </w:pPr>
      <w:r w:rsidRPr="006E7CFC">
        <w:t>96. Ha aggiunto che, oltre allo sfruttamento non retribuito del lavoro altrui, la caratteristica della schiavitù moderna è il cambiamento dello stato o della condizione dell'individuo, dovuto al livello di costrizione o controllo a cui sono sottoposti la sua persona, la sua vita, i suoi effetti personali, il suo diritto di andare e venire a piacimento o di prendere decisioni.  </w:t>
      </w:r>
    </w:p>
    <w:p w14:paraId="36B7090D" w14:textId="77777777" w:rsidR="006E7CFC" w:rsidRPr="006E7CFC" w:rsidRDefault="006E7CFC" w:rsidP="006E7CFC">
      <w:pPr>
        <w:jc w:val="both"/>
      </w:pPr>
      <w:r w:rsidRPr="006E7CFC">
        <w:t xml:space="preserve">Ha spiegato che, sebbene non avesse descritto la sua situazione come “lavoro forzato” nel procedimento dinanzi alla Corte d’appello di Versailles, la parte civile aveva sostenuto nelle sue osservazioni che “lo sfruttamento a cui era sottoposta la signora </w:t>
      </w:r>
      <w:proofErr w:type="spellStart"/>
      <w:r w:rsidRPr="006E7CFC">
        <w:t>Siliadin</w:t>
      </w:r>
      <w:proofErr w:type="spellEnd"/>
      <w:r w:rsidRPr="006E7CFC">
        <w:t xml:space="preserve"> ... aveva, come minimo, le caratteristiche del 'lavoro forzato' ai sensi dell’articolo 4 § 2 della Convenzione ...; in realtà, si trattava di una schiava domestica reclutata in Africa”.</w:t>
      </w:r>
    </w:p>
    <w:p w14:paraId="26E2FCA9" w14:textId="77777777" w:rsidR="006E7CFC" w:rsidRPr="006E7CFC" w:rsidRDefault="006E7CFC" w:rsidP="006E7CFC">
      <w:pPr>
        <w:jc w:val="both"/>
      </w:pPr>
      <w:r w:rsidRPr="006E7CFC">
        <w:t>97. Quanto alla definizione di “lavoro forzato o obbligatorio”, il ricorrente ha richiamato la giurisprudenza della Commissione e della Corte, sottolineando che gli sviluppi del diritto internazionale favoriscono la concessione di una protezione speciale ai minori.  </w:t>
      </w:r>
    </w:p>
    <w:p w14:paraId="6D039710" w14:textId="77777777" w:rsidR="006E7CFC" w:rsidRPr="006E7CFC" w:rsidRDefault="006E7CFC" w:rsidP="006E7CFC">
      <w:pPr>
        <w:jc w:val="both"/>
      </w:pPr>
      <w:r w:rsidRPr="006E7CFC">
        <w:lastRenderedPageBreak/>
        <w:t>98. Ha osservato che il diritto penale francese non prevedeva reati specifici di schiavitù, servitù o lavoro forzato o obbligatorio, e tanto meno una definizione di questi tre concetti sufficientemente specifica e flessibile da poter essere adattata alle forme che tali pratiche assumevano ora. Inoltre, prima dell'emanazione della legge del 18 marzo 2003, non esisteva alcuna legislazione che considerasse direttamente reato la tratta di esseri umani.  </w:t>
      </w:r>
    </w:p>
    <w:p w14:paraId="3DC73F71" w14:textId="77777777" w:rsidR="006E7CFC" w:rsidRPr="006E7CFC" w:rsidRDefault="006E7CFC" w:rsidP="006E7CFC">
      <w:pPr>
        <w:jc w:val="both"/>
      </w:pPr>
      <w:r w:rsidRPr="006E7CFC">
        <w:t>99. Pertanto, i reati di cui era stata vittima rientravano nelle disposizioni degli articoli 225-13 e 225-14 del Codice penale, nella loro formulazione all'epoca dei fatti. Si trattava di testi generici di natura più generale, che richiedevano entrambi che la vittima si trovasse in uno stato di vulnerabilità o dipendenza. Tali concetti erano altrettanto vaghi quanto quello di "</w:t>
      </w:r>
      <w:proofErr w:type="spellStart"/>
      <w:r w:rsidRPr="006E7CFC">
        <w:t>approfittamento</w:t>
      </w:r>
      <w:proofErr w:type="spellEnd"/>
      <w:r w:rsidRPr="006E7CFC">
        <w:t>" da parte dell'autore, che rientrava anch'esso nella definizione dei due reati. A tale proposito, ha sottolineato che sia la dottrina sia la task force dell'Assemblea nazionale sulle diverse forme di schiavitù moderna avevano evidenziato la mancanza di criteri giuridici che consentissero ai tribunali di determinare se tale situazione sussistesse, il che aveva portato, nella pratica, a interpretazioni indebitamente restrittive.  </w:t>
      </w:r>
    </w:p>
    <w:p w14:paraId="1FD9AAFE" w14:textId="77777777" w:rsidR="006E7CFC" w:rsidRPr="006E7CFC" w:rsidRDefault="006E7CFC" w:rsidP="006E7CFC">
      <w:pPr>
        <w:jc w:val="both"/>
      </w:pPr>
      <w:r w:rsidRPr="006E7CFC">
        <w:t>100. Pertanto, l'articolo 225-13 del Codice penale ha reso reato l'ottenimento del lavoro altrui abusando della sua persona. Nel valutare se la vittima fosse vulnerabile o in stato di dipendenza, i giudici avevano il diritto di prendere in considerazione, tra le altre circostanze, determinati indizi di costrizione o controllo dell'individuo. Tuttavia, questi erano rilevanti solo come prerequisiti per l'accertamento dello sfruttamento, non come elementi costitutivi della particolare forma di reato rappresentata dalla schiavitù moderna. Inoltre, tale articolo non faceva alcuna distinzione tra i datori di lavoro che approfittavano della situazione illegale dei lavoratori immigrati già presenti in Francia e coloro che li mettevano deliberatamente in tale situazione ricorrendo alla tratta di esseri umani.  </w:t>
      </w:r>
    </w:p>
    <w:p w14:paraId="7C819D0C" w14:textId="77777777" w:rsidR="006E7CFC" w:rsidRPr="006E7CFC" w:rsidRDefault="006E7CFC" w:rsidP="006E7CFC">
      <w:pPr>
        <w:jc w:val="both"/>
      </w:pPr>
      <w:r w:rsidRPr="006E7CFC">
        <w:t>101. Ha aggiunto che, contrariamente all'articolo 225-13, l'articolo 225-14 richiedeva, e continuava a richiedere, una violazione della dignità umana affinché il reato fosse accertato. Si trattava di un concetto particolarmente vago e soggetto a interpretazione casuale. Per questo motivo, né le sue condizioni di lavoro né quelle di vita erano state ritenute dal tribunale incompatibili con la dignità umana.  </w:t>
      </w:r>
    </w:p>
    <w:p w14:paraId="1372E034" w14:textId="77777777" w:rsidR="006E7CFC" w:rsidRPr="006E7CFC" w:rsidRDefault="006E7CFC" w:rsidP="006E7CFC">
      <w:pPr>
        <w:jc w:val="both"/>
      </w:pPr>
      <w:r w:rsidRPr="006E7CFC">
        <w:t>102. La ricorrente ha concluso affermando che le disposizioni penali vigenti all'epoca dei fatti non le avevano garantito un'adeguata protezione dalla servitù o dal lavoro forzato o obbligatorio nelle loro forme contemporanee, che erano contrarie all'articolo 4 della Convenzione. Quanto al fatto che il procedimento penale avesse portato al riconoscimento di un risarcimento, ha ritenuto che ciò non potesse essere sufficiente ad esonerare lo Stato dal suo obbligo di istituire un meccanismo penale che sanzionasse efficacemente i colpevoli di tale condotta e ne scoraggiasse gli altri.  </w:t>
      </w:r>
    </w:p>
    <w:p w14:paraId="390FF4B2" w14:textId="77777777" w:rsidR="006E7CFC" w:rsidRPr="006E7CFC" w:rsidRDefault="006E7CFC" w:rsidP="006E7CFC">
      <w:pPr>
        <w:jc w:val="both"/>
      </w:pPr>
      <w:r w:rsidRPr="006E7CFC">
        <w:t>103. Quanto alla presunta violazione dell'articolo 4, il Governo ha innanzitutto osservato che la Convenzione non definisce il termine "servitù". Ha sostenuto che, secondo la giurisprudenza, "servitù" si avvicina alla "schiavitù", che si colloca all'estremo opposto. Tuttavia, la servitù riflette una situazione di sfruttamento che non richiede che la vittima sia oggettivata al punto da diventare semplicemente proprietà altrui.  </w:t>
      </w:r>
    </w:p>
    <w:p w14:paraId="342B2748" w14:textId="77777777" w:rsidR="006E7CFC" w:rsidRPr="006E7CFC" w:rsidRDefault="006E7CFC" w:rsidP="006E7CFC">
      <w:pPr>
        <w:jc w:val="both"/>
      </w:pPr>
      <w:r w:rsidRPr="006E7CFC">
        <w:lastRenderedPageBreak/>
        <w:t>104. Quanto alla differenza tra “servitù” e “lavoro forzato o obbligatorio”, essi hanno concluso, sulla base della giurisprudenza della Commissione e della Corte, che la servitù sembrava caratterizzare situazioni in cui la negazione della libertà dell’individuo non si limitava alla prestazione obbligatoria di lavoro, ma si estendeva anche alle sue condizioni di vita, e che non vi era alcun potenziale di miglioramento, elemento assente nel concetto di “lavoro forzato o obbligatorio”.  </w:t>
      </w:r>
    </w:p>
    <w:p w14:paraId="768ECE18" w14:textId="77777777" w:rsidR="006E7CFC" w:rsidRPr="006E7CFC" w:rsidRDefault="006E7CFC" w:rsidP="006E7CFC">
      <w:pPr>
        <w:jc w:val="both"/>
      </w:pPr>
      <w:r w:rsidRPr="006E7CFC">
        <w:t>105. Per quanto riguarda la differenza tra “lavoro forzato” e “lavoro obbligatorio”, il Governo ha osservato che, mentre la definizione giurisprudenziale di “lavoro forzato” come lavoro svolto sotto l’influenza della “forza fisica o psicologica” sembrava relativamente chiara, la situazione era meno chiara per quanto riguarda il “lavoro obbligatorio”.  </w:t>
      </w:r>
    </w:p>
    <w:p w14:paraId="5F855FDC" w14:textId="77777777" w:rsidR="006E7CFC" w:rsidRPr="006E7CFC" w:rsidRDefault="006E7CFC" w:rsidP="006E7CFC">
      <w:pPr>
        <w:jc w:val="both"/>
      </w:pPr>
      <w:r w:rsidRPr="006E7CFC">
        <w:t>106. Il Governo non ha negato che la situazione della ricorrente rientri nell'articolo 4 della Convenzione e ha sottolineato che essa stessa aveva specificamente descritto la sua situazione come “lavoro forzato” ai sensi di tale disposizione.  </w:t>
      </w:r>
    </w:p>
    <w:p w14:paraId="1ABB5F8E" w14:textId="77777777" w:rsidR="006E7CFC" w:rsidRPr="006E7CFC" w:rsidRDefault="006E7CFC" w:rsidP="006E7CFC">
      <w:pPr>
        <w:jc w:val="both"/>
      </w:pPr>
      <w:r w:rsidRPr="006E7CFC">
        <w:t>107. Tuttavia, essi hanno sostenuto che le autorità giudiziarie interne avevano incontestabilmente posto rimedio alla violazione della Convenzione, dichiarando che erano stati accertati gli elementi costitutivi del reato di cui all'articolo 225-13 del codice penale.  </w:t>
      </w:r>
    </w:p>
    <w:p w14:paraId="214D7BE4" w14:textId="77777777" w:rsidR="006E7CFC" w:rsidRPr="006E7CFC" w:rsidRDefault="006E7CFC" w:rsidP="006E7CFC">
      <w:pPr>
        <w:jc w:val="both"/>
      </w:pPr>
      <w:r w:rsidRPr="006E7CFC">
        <w:t>108. Infine, il Governo ha sottolineato che la formulazione degli articoli 225-13 e 225-14 del Codice penale consente di contrastare ogni forma di sfruttamento lavorativo dell'individuo rientrante nell'articolo 4 della Convenzione.   </w:t>
      </w:r>
    </w:p>
    <w:p w14:paraId="3496A13C" w14:textId="77777777" w:rsidR="006E7CFC" w:rsidRPr="006E7CFC" w:rsidRDefault="006E7CFC" w:rsidP="006E7CFC">
      <w:pPr>
        <w:jc w:val="both"/>
      </w:pPr>
      <w:r w:rsidRPr="006E7CFC">
        <w:t>109. La Corte osserva che la ricorrente è arrivata in Francia dal Togo all'età di 15 anni e 7 mesi con una persona che aveva concordato con il padre che avrebbe lavorato fino al rimborso del biglietto aereo, che il suo status di immigrazione sarebbe stato regolarizzato e che sarebbe stata mandata a scuola.  </w:t>
      </w:r>
    </w:p>
    <w:p w14:paraId="11B4589C" w14:textId="77777777" w:rsidR="006E7CFC" w:rsidRPr="006E7CFC" w:rsidRDefault="006E7CFC" w:rsidP="006E7CFC">
      <w:pPr>
        <w:jc w:val="both"/>
      </w:pPr>
      <w:r w:rsidRPr="006E7CFC">
        <w:t>110. In realtà, la ricorrente ha lavorato per questa persona per alcuni mesi prima di essere "prestata" ai coniugi B. Dalle prove risulta che ha lavorato nella loro casa senza sosta per circa quindici ore al giorno, senza un giorno di riposo, per diversi anni, senza mai ricevere uno stipendio né essere mandata a scuola, senza documenti di identità e senza che il suo status di immigrazione fosse regolarizzato. È stata ospitata nella loro casa e ha dormito nella camera dei bambini.  </w:t>
      </w:r>
    </w:p>
    <w:p w14:paraId="4EB81C08" w14:textId="77777777" w:rsidR="006E7CFC" w:rsidRPr="006E7CFC" w:rsidRDefault="006E7CFC" w:rsidP="006E7CFC">
      <w:pPr>
        <w:jc w:val="both"/>
      </w:pPr>
      <w:r w:rsidRPr="006E7CFC">
        <w:t>111. La Corte rileva inoltre che, oltre alla Convenzione, numerose convenzioni internazionali hanno come obiettivo la protezione degli esseri umani dalla schiavitù, dalla servitù e dal lavoro forzato o obbligatorio (cfr. "Diritto pertinente" sopra). Come ha sottolineato l'Assemblea parlamentare del Consiglio d'Europa, sebbene la schiavitù sia stata ufficialmente abolita più di 150 anni fa, la "schiavitù domestica" persiste in Europa e riguarda migliaia di persone, la maggior parte delle quali sono donne.  </w:t>
      </w:r>
    </w:p>
    <w:p w14:paraId="08184410" w14:textId="77777777" w:rsidR="006E7CFC" w:rsidRPr="006E7CFC" w:rsidRDefault="006E7CFC" w:rsidP="006E7CFC">
      <w:pPr>
        <w:jc w:val="both"/>
      </w:pPr>
      <w:r w:rsidRPr="006E7CFC">
        <w:t xml:space="preserve">112. La Corte ribadisce che l'articolo 4 sancisce uno dei valori fondamentali delle società democratiche. Contrariamente alla maggior parte delle clausole sostanziali della Convenzione e dei Protocolli n. 1 e 4, l'articolo 4 non prevede eccezioni e nessuna deroga è ammessa ai sensi dell'articolo 15 § 2, anche in caso di emergenza pubblica che minacci la vita della nazione (vedere, </w:t>
      </w:r>
      <w:r w:rsidRPr="006E7CFC">
        <w:lastRenderedPageBreak/>
        <w:t>per quanto riguarda l'articolo 3, </w:t>
      </w:r>
      <w:r w:rsidRPr="006E7CFC">
        <w:rPr>
          <w:i/>
          <w:iCs/>
        </w:rPr>
        <w:t>Irlanda c. Regno Unito </w:t>
      </w:r>
      <w:r w:rsidRPr="006E7CFC">
        <w:t xml:space="preserve">, sentenza del 18 gennaio 1978, serie A n. 25, p. 65, § 163; </w:t>
      </w:r>
      <w:proofErr w:type="spellStart"/>
      <w:r w:rsidRPr="006E7CFC">
        <w:t>Soering</w:t>
      </w:r>
      <w:proofErr w:type="spellEnd"/>
      <w:r w:rsidRPr="006E7CFC">
        <w:t xml:space="preserve"> c. </w:t>
      </w:r>
      <w:r w:rsidRPr="006E7CFC">
        <w:rPr>
          <w:i/>
          <w:iCs/>
        </w:rPr>
        <w:t>Regno Unito </w:t>
      </w:r>
      <w:r w:rsidRPr="006E7CFC">
        <w:t>, sentenza del 7 luglio 1989, serie A n. 161, pp. 34-35, § 88; </w:t>
      </w:r>
      <w:proofErr w:type="spellStart"/>
      <w:r w:rsidRPr="006E7CFC">
        <w:rPr>
          <w:i/>
          <w:iCs/>
        </w:rPr>
        <w:t>Chahal</w:t>
      </w:r>
      <w:proofErr w:type="spellEnd"/>
      <w:r w:rsidRPr="006E7CFC">
        <w:rPr>
          <w:i/>
          <w:iCs/>
        </w:rPr>
        <w:t xml:space="preserve"> c. Regno Unito </w:t>
      </w:r>
      <w:r w:rsidRPr="006E7CFC">
        <w:t>, sentenza del 15 novembre 1996, </w:t>
      </w:r>
      <w:proofErr w:type="spellStart"/>
      <w:r w:rsidRPr="006E7CFC">
        <w:rPr>
          <w:i/>
          <w:iCs/>
        </w:rPr>
        <w:t>Recueil</w:t>
      </w:r>
      <w:proofErr w:type="spellEnd"/>
      <w:r w:rsidRPr="006E7CFC">
        <w:rPr>
          <w:i/>
          <w:iCs/>
        </w:rPr>
        <w:t> </w:t>
      </w:r>
      <w:r w:rsidRPr="006E7CFC">
        <w:t>1996 </w:t>
      </w:r>
      <w:r w:rsidRPr="006E7CFC">
        <w:noBreakHyphen/>
        <w:t> V, p. 1855, § 79; e </w:t>
      </w:r>
      <w:proofErr w:type="spellStart"/>
      <w:r w:rsidRPr="006E7CFC">
        <w:rPr>
          <w:i/>
          <w:iCs/>
        </w:rPr>
        <w:t>Selmouni</w:t>
      </w:r>
      <w:proofErr w:type="spellEnd"/>
      <w:r w:rsidRPr="006E7CFC">
        <w:rPr>
          <w:i/>
          <w:iCs/>
        </w:rPr>
        <w:t xml:space="preserve"> c. Francia </w:t>
      </w:r>
      <w:r w:rsidRPr="006E7CFC">
        <w:t>[GC], n. </w:t>
      </w:r>
      <w:hyperlink r:id="rId21" w:anchor="{%22appno%22:[%2225803/94%22]}" w:tgtFrame="_blank" w:history="1">
        <w:r w:rsidRPr="006E7CFC">
          <w:rPr>
            <w:rStyle w:val="Collegamentoipertestuale"/>
          </w:rPr>
          <w:t>25803/94</w:t>
        </w:r>
      </w:hyperlink>
      <w:r w:rsidRPr="006E7CFC">
        <w:t> , § 79, CEDU 1999-V).  </w:t>
      </w:r>
    </w:p>
    <w:p w14:paraId="25F7D588" w14:textId="77777777" w:rsidR="006E7CFC" w:rsidRPr="006E7CFC" w:rsidRDefault="006E7CFC" w:rsidP="006E7CFC">
      <w:pPr>
        <w:jc w:val="both"/>
      </w:pPr>
      <w:r w:rsidRPr="006E7CFC">
        <w:t>In tali circostanze, la Corte ritiene che, conformemente alle norme e alle tendenze contemporanee in materia, gli obblighi positivi degli Stati membri ai sensi dell'articolo 4 della Convenzione debbano essere considerati come esigenti la sanzione e l'effettivo perseguimento di qualsiasi atto volto a mantenere una persona in una tale situazione (vedere, </w:t>
      </w:r>
      <w:proofErr w:type="spellStart"/>
      <w:r w:rsidRPr="006E7CFC">
        <w:rPr>
          <w:i/>
          <w:iCs/>
        </w:rPr>
        <w:t>mutatis</w:t>
      </w:r>
      <w:proofErr w:type="spellEnd"/>
      <w:r w:rsidRPr="006E7CFC">
        <w:rPr>
          <w:i/>
          <w:iCs/>
        </w:rPr>
        <w:t xml:space="preserve"> </w:t>
      </w:r>
      <w:proofErr w:type="spellStart"/>
      <w:r w:rsidRPr="006E7CFC">
        <w:rPr>
          <w:i/>
          <w:iCs/>
        </w:rPr>
        <w:t>mutandis</w:t>
      </w:r>
      <w:proofErr w:type="spellEnd"/>
      <w:r w:rsidRPr="006E7CFC">
        <w:rPr>
          <w:i/>
          <w:iCs/>
        </w:rPr>
        <w:t> </w:t>
      </w:r>
      <w:r w:rsidRPr="006E7CFC">
        <w:t>, </w:t>
      </w:r>
      <w:r w:rsidRPr="006E7CFC">
        <w:rPr>
          <w:i/>
          <w:iCs/>
        </w:rPr>
        <w:t>MC c. Bulgaria </w:t>
      </w:r>
      <w:r w:rsidRPr="006E7CFC">
        <w:t>, citato sopra, § 166).</w:t>
      </w:r>
    </w:p>
    <w:p w14:paraId="2FC79355" w14:textId="77777777" w:rsidR="006E7CFC" w:rsidRPr="006E7CFC" w:rsidRDefault="006E7CFC" w:rsidP="006E7CFC">
      <w:pPr>
        <w:jc w:val="both"/>
      </w:pPr>
      <w:r w:rsidRPr="006E7CFC">
        <w:t>113. Di conseguenza, la Corte deve stabilire se la situazione del ricorrente rientri nell'articolo 4 della Convenzione.  </w:t>
      </w:r>
    </w:p>
    <w:p w14:paraId="166BDDF4" w14:textId="77777777" w:rsidR="006E7CFC" w:rsidRPr="006E7CFC" w:rsidRDefault="006E7CFC" w:rsidP="006E7CFC">
      <w:pPr>
        <w:jc w:val="both"/>
      </w:pPr>
      <w:r w:rsidRPr="006E7CFC">
        <w:t>114. Non è contestato che la donna abbia lavorato per anni per il signor e la signora B., senza tregua e contro la sua volontà.  </w:t>
      </w:r>
    </w:p>
    <w:p w14:paraId="432E845A" w14:textId="77777777" w:rsidR="006E7CFC" w:rsidRPr="006E7CFC" w:rsidRDefault="006E7CFC" w:rsidP="006E7CFC">
      <w:pPr>
        <w:jc w:val="both"/>
      </w:pPr>
      <w:r w:rsidRPr="006E7CFC">
        <w:t>È stato inoltre accertato che la ricorrente non ha ricevuto alcun compenso dal signor e dalla signora B. per il suo lavoro.</w:t>
      </w:r>
    </w:p>
    <w:p w14:paraId="6A9838B3" w14:textId="77777777" w:rsidR="006E7CFC" w:rsidRPr="006E7CFC" w:rsidRDefault="006E7CFC" w:rsidP="006E7CFC">
      <w:pPr>
        <w:jc w:val="both"/>
      </w:pPr>
      <w:r w:rsidRPr="006E7CFC">
        <w:t>115. Nell'interpretazione dell'articolo 4 della Convenzione europea, la Corte ha già preso in considerazione, in un caso precedente, le convenzioni dell'OIL, che sono vincolanti per quasi tutti gli Stati membri del Consiglio d'Europa, compresa la Francia, e in particolare la Convenzione sul lavoro forzato del 1930 (cfr. </w:t>
      </w:r>
      <w:r w:rsidRPr="006E7CFC">
        <w:rPr>
          <w:i/>
          <w:iCs/>
        </w:rPr>
        <w:t xml:space="preserve">Van </w:t>
      </w:r>
      <w:proofErr w:type="spellStart"/>
      <w:r w:rsidRPr="006E7CFC">
        <w:rPr>
          <w:i/>
          <w:iCs/>
        </w:rPr>
        <w:t>der</w:t>
      </w:r>
      <w:proofErr w:type="spellEnd"/>
      <w:r w:rsidRPr="006E7CFC">
        <w:rPr>
          <w:i/>
          <w:iCs/>
        </w:rPr>
        <w:t xml:space="preserve"> </w:t>
      </w:r>
      <w:proofErr w:type="spellStart"/>
      <w:r w:rsidRPr="006E7CFC">
        <w:rPr>
          <w:i/>
          <w:iCs/>
        </w:rPr>
        <w:t>Mussele</w:t>
      </w:r>
      <w:proofErr w:type="spellEnd"/>
      <w:r w:rsidRPr="006E7CFC">
        <w:rPr>
          <w:i/>
          <w:iCs/>
        </w:rPr>
        <w:t xml:space="preserve"> c. Belgio </w:t>
      </w:r>
      <w:r w:rsidRPr="006E7CFC">
        <w:t>, sentenza del 23 novembre 1983, serie A n. 70, pag. 16, § 32).   </w:t>
      </w:r>
    </w:p>
    <w:p w14:paraId="6CC41A38" w14:textId="77777777" w:rsidR="006E7CFC" w:rsidRPr="006E7CFC" w:rsidRDefault="006E7CFC" w:rsidP="006E7CFC">
      <w:pPr>
        <w:jc w:val="both"/>
      </w:pPr>
      <w:r w:rsidRPr="006E7CFC">
        <w:t>116. Essa ritiene che vi sia in effetti una sorprendente somiglianza, non casuale, tra il paragrafo 3 dell'articolo 4 della Convenzione europea e il paragrafo 2 dell'articolo 2 della Convenzione n. 29. Il paragrafo 1 di quest'ultimo articolo prevede che «ai fini» di quest'ultima Convenzione, l'espressione «lavoro forzato o obbligatorio» designa «ogni lavoro o servizio estorto a una persona sotto minaccia di una punizione e per il quale detta persona non si è offerta volontariamente».  </w:t>
      </w:r>
    </w:p>
    <w:p w14:paraId="3A2EC577" w14:textId="77777777" w:rsidR="006E7CFC" w:rsidRPr="006E7CFC" w:rsidRDefault="006E7CFC" w:rsidP="006E7CFC">
      <w:pPr>
        <w:jc w:val="both"/>
      </w:pPr>
      <w:r w:rsidRPr="006E7CFC">
        <w:t>117. Resta da accertare se si sia trattato di lavoro “forzato o obbligatorio”. Ciò richiama l’idea di costrizione fisica o mentale. Ciò che deve trattarsi è un lavoro “esatto... sotto la minaccia di qualsiasi punizione” e svolto anche contro la volontà dell’interessato, ovvero un lavoro per il quale egli “non si è offerto volontariamente” (cfr. </w:t>
      </w:r>
      <w:r w:rsidRPr="006E7CFC">
        <w:rPr>
          <w:i/>
          <w:iCs/>
        </w:rPr>
        <w:t xml:space="preserve">Van </w:t>
      </w:r>
      <w:proofErr w:type="spellStart"/>
      <w:r w:rsidRPr="006E7CFC">
        <w:rPr>
          <w:i/>
          <w:iCs/>
        </w:rPr>
        <w:t>der</w:t>
      </w:r>
      <w:proofErr w:type="spellEnd"/>
      <w:r w:rsidRPr="006E7CFC">
        <w:rPr>
          <w:i/>
          <w:iCs/>
        </w:rPr>
        <w:t xml:space="preserve"> </w:t>
      </w:r>
      <w:proofErr w:type="spellStart"/>
      <w:r w:rsidRPr="006E7CFC">
        <w:rPr>
          <w:i/>
          <w:iCs/>
        </w:rPr>
        <w:t>Mussele</w:t>
      </w:r>
      <w:proofErr w:type="spellEnd"/>
      <w:r w:rsidRPr="006E7CFC">
        <w:rPr>
          <w:i/>
          <w:iCs/>
        </w:rPr>
        <w:t> </w:t>
      </w:r>
      <w:r w:rsidRPr="006E7CFC">
        <w:t>, citato sopra, p. 17, § 34).  </w:t>
      </w:r>
    </w:p>
    <w:p w14:paraId="2F5A2818" w14:textId="77777777" w:rsidR="006E7CFC" w:rsidRPr="006E7CFC" w:rsidRDefault="006E7CFC" w:rsidP="006E7CFC">
      <w:pPr>
        <w:jc w:val="both"/>
      </w:pPr>
      <w:r w:rsidRPr="006E7CFC">
        <w:t>118. La Corte rileva che, nel caso di specie, sebbene la ricorrente non fosse minacciata da una “sanzione”, resta il fatto che si trovava in una situazione equivalente in termini di gravità percepita della minaccia.  </w:t>
      </w:r>
    </w:p>
    <w:p w14:paraId="30C0ED99" w14:textId="77777777" w:rsidR="006E7CFC" w:rsidRPr="006E7CFC" w:rsidRDefault="006E7CFC" w:rsidP="006E7CFC">
      <w:pPr>
        <w:jc w:val="both"/>
      </w:pPr>
      <w:r w:rsidRPr="006E7CFC">
        <w:t>Si trattava di una ragazza adolescente in terra straniera, presente illegalmente sul territorio francese e che temeva di essere arrestata dalla polizia. In effetti, il signor e la signora B. avevano alimentato tale timore, inducendola a credere che il suo status sarebbe stato regolarizzato (cfr. paragrafo 22 sopra).</w:t>
      </w:r>
    </w:p>
    <w:p w14:paraId="7467C7FE" w14:textId="77777777" w:rsidR="006E7CFC" w:rsidRPr="006E7CFC" w:rsidRDefault="006E7CFC" w:rsidP="006E7CFC">
      <w:pPr>
        <w:jc w:val="both"/>
      </w:pPr>
      <w:r w:rsidRPr="006E7CFC">
        <w:lastRenderedPageBreak/>
        <w:t>Di conseguenza, la Corte ritiene che il primo criterio sia stato soddisfatto, soprattutto perché il ricorrente era minorenne all'epoca dei fatti, un punto che la Corte sottolinea.</w:t>
      </w:r>
    </w:p>
    <w:p w14:paraId="4C704B11" w14:textId="77777777" w:rsidR="006E7CFC" w:rsidRPr="006E7CFC" w:rsidRDefault="006E7CFC" w:rsidP="006E7CFC">
      <w:pPr>
        <w:jc w:val="both"/>
      </w:pPr>
      <w:r w:rsidRPr="006E7CFC">
        <w:t>119. Quanto alla questione se abbia svolto tale lavoro di sua spontanea volontà, dai fatti del caso emerge chiaramente che non si può seriamente sostenere che lo abbia fatto. Al contrario, è evidente che non le è stata data alcuna scelta.  </w:t>
      </w:r>
    </w:p>
    <w:p w14:paraId="0AFCA551" w14:textId="77777777" w:rsidR="006E7CFC" w:rsidRPr="006E7CFC" w:rsidRDefault="006E7CFC" w:rsidP="006E7CFC">
      <w:pPr>
        <w:jc w:val="both"/>
      </w:pPr>
      <w:r w:rsidRPr="006E7CFC">
        <w:t>120. In tali circostanze, la Corte ritiene che la ricorrente sia stata, quantomeno, sottoposta a lavoro forzato ai sensi dell'articolo 4 della Convenzione quando era minorenne.  </w:t>
      </w:r>
    </w:p>
    <w:p w14:paraId="195EDB9C" w14:textId="77777777" w:rsidR="006E7CFC" w:rsidRPr="006E7CFC" w:rsidRDefault="006E7CFC" w:rsidP="006E7CFC">
      <w:pPr>
        <w:jc w:val="both"/>
      </w:pPr>
      <w:r w:rsidRPr="006E7CFC">
        <w:t>121. Spetta alla Corte stabilire se il ricorrente fosse tenuto anche in stato di servitù o di schiavitù.  </w:t>
      </w:r>
    </w:p>
    <w:p w14:paraId="671BB893" w14:textId="77777777" w:rsidR="006E7CFC" w:rsidRPr="006E7CFC" w:rsidRDefault="006E7CFC" w:rsidP="006E7CFC">
      <w:pPr>
        <w:jc w:val="both"/>
      </w:pPr>
      <w:r w:rsidRPr="006E7CFC">
        <w:t>Non bisogna perdere di vista le peculiarità della Convenzione, né il fatto che si tratta di uno strumento vivo che deve essere interpretato alla luce delle condizioni odierne, e che il livello sempre più elevato richiesto nell'ambito della tutela dei diritti umani e delle libertà fondamentali richiede di conseguenza e inevitabilmente una maggiore fermezza nel valutare le violazioni dei valori fondamentali delle società democratiche (vedere, tra molte altre autorità, </w:t>
      </w:r>
      <w:proofErr w:type="spellStart"/>
      <w:r w:rsidRPr="006E7CFC">
        <w:rPr>
          <w:i/>
          <w:iCs/>
        </w:rPr>
        <w:t>Selmouni</w:t>
      </w:r>
      <w:proofErr w:type="spellEnd"/>
      <w:r w:rsidRPr="006E7CFC">
        <w:rPr>
          <w:i/>
          <w:iCs/>
        </w:rPr>
        <w:t> </w:t>
      </w:r>
      <w:r w:rsidRPr="006E7CFC">
        <w:t>, citato sopra, § 101).</w:t>
      </w:r>
    </w:p>
    <w:p w14:paraId="2D84D57E" w14:textId="77777777" w:rsidR="006E7CFC" w:rsidRPr="006E7CFC" w:rsidRDefault="006E7CFC" w:rsidP="006E7CFC">
      <w:pPr>
        <w:jc w:val="both"/>
      </w:pPr>
      <w:r w:rsidRPr="006E7CFC">
        <w:t>122. La Corte osserva innanzitutto che, secondo la Convenzione sulla schiavitù del 1927, “la schiavitù è lo stato o la condizione di una persona sulla quale vengono esercitati alcuni o tutti i poteri inerenti al diritto di proprietà”.  </w:t>
      </w:r>
    </w:p>
    <w:p w14:paraId="5BFF0070" w14:textId="77777777" w:rsidR="006E7CFC" w:rsidRPr="006E7CFC" w:rsidRDefault="006E7CFC" w:rsidP="006E7CFC">
      <w:pPr>
        <w:jc w:val="both"/>
      </w:pPr>
      <w:r w:rsidRPr="006E7CFC">
        <w:t>Si osserva che tale definizione corrisponde al significato "classico" della schiavitù, così come è stata praticata per secoli. Sebbene la ricorrente fosse, nel caso di specie, chiaramente privata della sua autonomia personale, le prove non suggeriscono che fosse tenuta in schiavitù in senso proprio, ovvero che il signor e la signora B. esercitassero su di lei un autentico diritto di proprietà legale, riducendola così allo status di "oggetto".</w:t>
      </w:r>
    </w:p>
    <w:p w14:paraId="60C0B555" w14:textId="77777777" w:rsidR="006E7CFC" w:rsidRPr="006E7CFC" w:rsidRDefault="006E7CFC" w:rsidP="006E7CFC">
      <w:pPr>
        <w:jc w:val="both"/>
      </w:pPr>
      <w:r w:rsidRPr="006E7CFC">
        <w:t>123. Per quanto riguarda il concetto di “servitù”, ciò che è proibito è una “forma particolarmente grave di negazione della libertà” (vedi </w:t>
      </w:r>
      <w:r w:rsidRPr="006E7CFC">
        <w:rPr>
          <w:i/>
          <w:iCs/>
        </w:rPr>
        <w:t xml:space="preserve">Van </w:t>
      </w:r>
      <w:proofErr w:type="spellStart"/>
      <w:r w:rsidRPr="006E7CFC">
        <w:rPr>
          <w:i/>
          <w:iCs/>
        </w:rPr>
        <w:t>Droogenbroeck</w:t>
      </w:r>
      <w:proofErr w:type="spellEnd"/>
      <w:r w:rsidRPr="006E7CFC">
        <w:rPr>
          <w:i/>
          <w:iCs/>
        </w:rPr>
        <w:t xml:space="preserve"> c. Belgio </w:t>
      </w:r>
      <w:r w:rsidRPr="006E7CFC">
        <w:t>, relazione della Commissione del 9 luglio 1980, serie B n. 44, pag. 30, §§ 78-80 ). Esso comprende, “oltre all’obbligo di fornire determinati servizi a terzi (...), l’obbligo per il “servo” di vivere sulla proprietà altrui e l’impossibilità di modificare la propria condizione”. A questo proposito, nell’esaminare un ricorso ai sensi di questo paragrafo dell’articolo 4, la Commissione ha prestato particolare attenzione alla Convenzione sull’abolizione della schiavitù (vedi anche Van </w:t>
      </w:r>
      <w:proofErr w:type="spellStart"/>
      <w:r w:rsidRPr="006E7CFC">
        <w:rPr>
          <w:i/>
          <w:iCs/>
        </w:rPr>
        <w:t>Droogenbroeck</w:t>
      </w:r>
      <w:proofErr w:type="spellEnd"/>
      <w:r w:rsidRPr="006E7CFC">
        <w:rPr>
          <w:i/>
          <w:iCs/>
        </w:rPr>
        <w:t xml:space="preserve"> c. Belgio </w:t>
      </w:r>
      <w:r w:rsidRPr="006E7CFC">
        <w:t>, n. </w:t>
      </w:r>
      <w:hyperlink r:id="rId22" w:anchor="{%22appno%22:[%227906/77%22]}" w:tgtFrame="_blank" w:history="1">
        <w:r w:rsidRPr="006E7CFC">
          <w:rPr>
            <w:rStyle w:val="Collegamentoipertestuale"/>
          </w:rPr>
          <w:t>7906/77</w:t>
        </w:r>
      </w:hyperlink>
      <w:r w:rsidRPr="006E7CFC">
        <w:t> , decisione della Commissione del 5 luglio 1979, DR 17, pag. 59).    </w:t>
      </w:r>
    </w:p>
    <w:p w14:paraId="5BF96641" w14:textId="77777777" w:rsidR="006E7CFC" w:rsidRPr="006E7CFC" w:rsidRDefault="006E7CFC" w:rsidP="006E7CFC">
      <w:pPr>
        <w:jc w:val="both"/>
      </w:pPr>
      <w:r w:rsidRPr="006E7CFC">
        <w:t>124. Alla luce della giurisprudenza su questo tema, ne consegue che ai fini della Convenzione “servitù” significa un obbligo di fornire i propri servizi imposto mediante l’uso della coercizione e deve essere collegato al concetto di “schiavitù” descritto sopra (vedi </w:t>
      </w:r>
      <w:r w:rsidRPr="006E7CFC">
        <w:rPr>
          <w:i/>
          <w:iCs/>
        </w:rPr>
        <w:t>Seguin c. Francia </w:t>
      </w:r>
      <w:r w:rsidRPr="006E7CFC">
        <w:t>(</w:t>
      </w:r>
      <w:proofErr w:type="spellStart"/>
      <w:r w:rsidRPr="006E7CFC">
        <w:t>dec</w:t>
      </w:r>
      <w:proofErr w:type="spellEnd"/>
      <w:r w:rsidRPr="006E7CFC">
        <w:t>.), n. </w:t>
      </w:r>
      <w:hyperlink r:id="rId23" w:anchor="{%22appno%22:[%2242400/98%22]}" w:tgtFrame="_blank" w:history="1">
        <w:r w:rsidRPr="006E7CFC">
          <w:rPr>
            <w:rStyle w:val="Collegamentoipertestuale"/>
          </w:rPr>
          <w:t>42400/98</w:t>
        </w:r>
      </w:hyperlink>
      <w:r w:rsidRPr="006E7CFC">
        <w:t> , 7 marzo 2000).   </w:t>
      </w:r>
    </w:p>
    <w:p w14:paraId="09D4A66E" w14:textId="77777777" w:rsidR="006E7CFC" w:rsidRPr="006E7CFC" w:rsidRDefault="006E7CFC" w:rsidP="006E7CFC">
      <w:pPr>
        <w:jc w:val="both"/>
      </w:pPr>
      <w:r w:rsidRPr="006E7CFC">
        <w:t xml:space="preserve">125. Inoltre, ai sensi della Convenzione supplementare sull'abolizione della schiavitù, della tratta degli schiavi e delle istituzioni e pratiche analoghe alla schiavitù, ciascuno degli Stati parti della </w:t>
      </w:r>
      <w:r w:rsidRPr="006E7CFC">
        <w:lastRenderedPageBreak/>
        <w:t>convenzione deve adottare tutte le misure legislative e di altra natura praticabili e necessarie per giungere alla completa abolizione o all'abbandono delle seguenti istituzioni e pratiche:  </w:t>
      </w:r>
    </w:p>
    <w:p w14:paraId="3E018322" w14:textId="77777777" w:rsidR="006E7CFC" w:rsidRPr="006E7CFC" w:rsidRDefault="006E7CFC" w:rsidP="006E7CFC">
      <w:pPr>
        <w:jc w:val="both"/>
      </w:pPr>
      <w:r w:rsidRPr="006E7CFC">
        <w:t>“(d) Qualsiasi istituzione o pratica mediante la quale un bambino o un giovane di età inferiore ai 18 anni viene consegnato da uno o entrambi i suoi genitori naturali o dal suo tutore a un'altra persona, dietro compenso o meno, allo scopo di sfruttarlo o sfruttarne il lavoro.”</w:t>
      </w:r>
    </w:p>
    <w:p w14:paraId="5B107987" w14:textId="77777777" w:rsidR="006E7CFC" w:rsidRPr="006E7CFC" w:rsidRDefault="006E7CFC" w:rsidP="006E7CFC">
      <w:pPr>
        <w:jc w:val="both"/>
      </w:pPr>
      <w:r w:rsidRPr="006E7CFC">
        <w:t>126. Oltre al fatto che il ricorrente era tenuto a svolgere lavori forzati, la Corte rileva che tale lavoro durava quasi quindici ore al giorno, sette giorni alla settimana.  </w:t>
      </w:r>
    </w:p>
    <w:p w14:paraId="22132981" w14:textId="77777777" w:rsidR="006E7CFC" w:rsidRPr="006E7CFC" w:rsidRDefault="006E7CFC" w:rsidP="006E7CFC">
      <w:pPr>
        <w:jc w:val="both"/>
      </w:pPr>
      <w:r w:rsidRPr="006E7CFC">
        <w:t>Era stata portata in Francia da un parente del padre e non aveva scelto di lavorare per il signor e la signora B.</w:t>
      </w:r>
    </w:p>
    <w:p w14:paraId="542BFE32" w14:textId="77777777" w:rsidR="006E7CFC" w:rsidRPr="006E7CFC" w:rsidRDefault="006E7CFC" w:rsidP="006E7CFC">
      <w:pPr>
        <w:jc w:val="both"/>
      </w:pPr>
      <w:r w:rsidRPr="006E7CFC">
        <w:t>Essendo minorenne, non aveva risorse, era vulnerabile e isolata, e non aveva mezzi per vivere altrove se non nella casa del signor e della signora B., dove condivideva la camera da letto dei bambini, poiché non le era stata offerta nessun'altra sistemazione. Era completamente alla mercé del signor e della signora B., poiché i suoi documenti erano stati confiscati e le era stato promesso che il suo status di immigrata sarebbe stato regolarizzato, cosa che non è mai avvenuta.</w:t>
      </w:r>
    </w:p>
    <w:p w14:paraId="36C3B72E" w14:textId="77777777" w:rsidR="006E7CFC" w:rsidRPr="006E7CFC" w:rsidRDefault="006E7CFC" w:rsidP="006E7CFC">
      <w:pPr>
        <w:jc w:val="both"/>
      </w:pPr>
      <w:r w:rsidRPr="006E7CFC">
        <w:t>127. Inoltre, alla ricorrente, che temeva di essere arrestata dalla polizia, non era in alcun caso consentito uscire di casa, se non per accompagnare i figli alle lezioni e alle varie attività. Pertanto, non aveva libertà di movimento né tempo libero.  </w:t>
      </w:r>
    </w:p>
    <w:p w14:paraId="0D573296" w14:textId="77777777" w:rsidR="006E7CFC" w:rsidRPr="006E7CFC" w:rsidRDefault="006E7CFC" w:rsidP="006E7CFC">
      <w:pPr>
        <w:jc w:val="both"/>
      </w:pPr>
      <w:r w:rsidRPr="006E7CFC">
        <w:t>128. Poiché non era stata mandata a scuola, nonostante le promesse fatte al padre, la ricorrente non poteva sperare che la sua situazione migliorasse e dipendeva completamente dal signor e dalla signora B.  </w:t>
      </w:r>
    </w:p>
    <w:p w14:paraId="653C53EB" w14:textId="77777777" w:rsidR="006E7CFC" w:rsidRPr="006E7CFC" w:rsidRDefault="006E7CFC" w:rsidP="006E7CFC">
      <w:pPr>
        <w:jc w:val="both"/>
      </w:pPr>
      <w:r w:rsidRPr="006E7CFC">
        <w:t>129. In tali circostanze, la Corte conclude che il ricorrente, minorenne all'epoca dei fatti, era tenuto in stato di servitù ai sensi dell'articolo 4 della Convenzione.  </w:t>
      </w:r>
    </w:p>
    <w:p w14:paraId="566C5DC0" w14:textId="77777777" w:rsidR="006E7CFC" w:rsidRPr="006E7CFC" w:rsidRDefault="006E7CFC" w:rsidP="006E7CFC">
      <w:pPr>
        <w:jc w:val="both"/>
      </w:pPr>
      <w:r w:rsidRPr="006E7CFC">
        <w:t>130. Alla luce delle sue conclusioni in merito agli obblighi positivi derivanti dall'articolo 4, spetta ora alla Corte esaminare se la legislazione impugnata e la sua applicazione nel caso in esame presentassero vizi così significativi da costituire una violazione dell'articolo 4 da parte dello Stato convenuto.  </w:t>
      </w:r>
    </w:p>
    <w:p w14:paraId="16556080" w14:textId="77777777" w:rsidR="006E7CFC" w:rsidRPr="006E7CFC" w:rsidRDefault="006E7CFC" w:rsidP="006E7CFC">
      <w:pPr>
        <w:jc w:val="both"/>
      </w:pPr>
      <w:r w:rsidRPr="006E7CFC">
        <w:t>131. Secondo la ricorrente, le disposizioni del diritto penale francese non le avevano garantito una protezione sufficiente contro la situazione e non avevano reso possibile punire i colpevoli.  </w:t>
      </w:r>
    </w:p>
    <w:p w14:paraId="6463C87E" w14:textId="77777777" w:rsidR="006E7CFC" w:rsidRPr="006E7CFC" w:rsidRDefault="006E7CFC" w:rsidP="006E7CFC">
      <w:pPr>
        <w:jc w:val="both"/>
      </w:pPr>
      <w:r w:rsidRPr="006E7CFC">
        <w:t>132. Il Governo, da parte sua, ha sostenuto che gli articoli 225-13 e 225-14 del Codice penale consentono di contrastare lo sfruttamento lavorativo di un individuo ai sensi dell'articolo 4 della Convenzione.  </w:t>
      </w:r>
    </w:p>
    <w:p w14:paraId="630F7A3D" w14:textId="77777777" w:rsidR="006E7CFC" w:rsidRPr="006E7CFC" w:rsidRDefault="006E7CFC" w:rsidP="006E7CFC">
      <w:pPr>
        <w:jc w:val="both"/>
      </w:pPr>
      <w:r w:rsidRPr="006E7CFC">
        <w:t>133. La Corte rileva che l’Assemblea parlamentare del Consiglio d’Europa, nella sua Raccomandazione 1523 (2001), “[si è rammaricata] che nessuno degli Stati membri del Consiglio d’Europa abbia espressamente [reso] la schiavitù domestica un reato nei propri codici penali”.  </w:t>
      </w:r>
    </w:p>
    <w:p w14:paraId="63D168A6" w14:textId="77777777" w:rsidR="006E7CFC" w:rsidRPr="006E7CFC" w:rsidRDefault="006E7CFC" w:rsidP="006E7CFC">
      <w:pPr>
        <w:jc w:val="both"/>
      </w:pPr>
      <w:r w:rsidRPr="006E7CFC">
        <w:t>134. Prende atto con interesse delle conclusioni raggiunte dalla task force congiunta dell'Assemblea nazionale francese sulle varie forme di schiavitù moderna (vedere sopra, "Diritto pertinente").  </w:t>
      </w:r>
    </w:p>
    <w:p w14:paraId="73A8971F" w14:textId="77777777" w:rsidR="006E7CFC" w:rsidRPr="006E7CFC" w:rsidRDefault="006E7CFC" w:rsidP="006E7CFC">
      <w:pPr>
        <w:jc w:val="both"/>
      </w:pPr>
      <w:r w:rsidRPr="006E7CFC">
        <w:lastRenderedPageBreak/>
        <w:t>Più specificamente, per quanto riguarda gli articoli 225-13 e 225-14, così come formulati all'epoca dei fatti, la task force ha rilevato, in particolare:</w:t>
      </w:r>
    </w:p>
    <w:p w14:paraId="25BA72E7" w14:textId="77777777" w:rsidR="006E7CFC" w:rsidRPr="006E7CFC" w:rsidRDefault="006E7CFC" w:rsidP="006E7CFC">
      <w:pPr>
        <w:jc w:val="both"/>
      </w:pPr>
      <w:r w:rsidRPr="006E7CFC">
        <w:t>"... Disponiamo di un arsenale non trascurabile di misure punitive. Tuttavia, queste non vengono sempre utilizzate appieno e si rivelano un deterrente insufficiente quando messe alla prova. ...</w:t>
      </w:r>
    </w:p>
    <w:p w14:paraId="7CD6DE75" w14:textId="77777777" w:rsidR="006E7CFC" w:rsidRPr="006E7CFC" w:rsidRDefault="006E7CFC" w:rsidP="006E7CFC">
      <w:pPr>
        <w:jc w:val="both"/>
      </w:pPr>
      <w:r w:rsidRPr="006E7CFC">
        <w:t>...</w:t>
      </w:r>
    </w:p>
    <w:p w14:paraId="5A2126D6" w14:textId="77777777" w:rsidR="006E7CFC" w:rsidRPr="006E7CFC" w:rsidRDefault="006E7CFC" w:rsidP="006E7CFC">
      <w:pPr>
        <w:jc w:val="both"/>
      </w:pPr>
      <w:r w:rsidRPr="006E7CFC">
        <w:t>Il concetto, contenuto negli articoli 225-13 e 225-14 del Codice penale, di abuso della vulnerabilità o dello stato di dipendenza di un individuo contiene ambiguità che potrebbero pregiudicarne l'applicazione.</w:t>
      </w:r>
    </w:p>
    <w:p w14:paraId="44DBD528" w14:textId="77777777" w:rsidR="006E7CFC" w:rsidRPr="006E7CFC" w:rsidRDefault="006E7CFC" w:rsidP="006E7CFC">
      <w:pPr>
        <w:jc w:val="both"/>
      </w:pPr>
      <w:r w:rsidRPr="006E7CFC">
        <w:t>...</w:t>
      </w:r>
    </w:p>
    <w:p w14:paraId="408D2B36" w14:textId="77777777" w:rsidR="006E7CFC" w:rsidRPr="006E7CFC" w:rsidRDefault="006E7CFC" w:rsidP="006E7CFC">
      <w:pPr>
        <w:jc w:val="both"/>
      </w:pPr>
      <w:r w:rsidRPr="006E7CFC">
        <w:t>Ciò premesso, e poiché la legge tace, spetta al giudice stabilire dove termini l'ambito di applicazione di tali disposizioni. A tale riguardo, l'analisi della giurisprudenza rivela divergenze di valutazione che impediscono l'applicazione uniforme della legge in tutta la Francia...</w:t>
      </w:r>
    </w:p>
    <w:p w14:paraId="02BF7BA1" w14:textId="77777777" w:rsidR="006E7CFC" w:rsidRPr="006E7CFC" w:rsidRDefault="006E7CFC" w:rsidP="006E7CFC">
      <w:pPr>
        <w:jc w:val="both"/>
      </w:pPr>
      <w:r w:rsidRPr="006E7CFC">
        <w:t>...</w:t>
      </w:r>
    </w:p>
    <w:p w14:paraId="06F68E22" w14:textId="77777777" w:rsidR="006E7CFC" w:rsidRPr="006E7CFC" w:rsidRDefault="006E7CFC" w:rsidP="006E7CFC">
      <w:pPr>
        <w:jc w:val="both"/>
      </w:pPr>
      <w:r w:rsidRPr="006E7CFC">
        <w:t>È quindi evidente che, in assenza di criteri giuridici che consentano ai giudici di stabilire se vi sia stato abuso della vulnerabilità o dello stato di dipendenza [di un individuo], le disposizioni degli articoli 225-13 e 225-14 del Codice penale si prestano a interpretazioni diverse, alcune più restrittive di altre.</w:t>
      </w:r>
    </w:p>
    <w:p w14:paraId="3BB75C23" w14:textId="77777777" w:rsidR="006E7CFC" w:rsidRPr="006E7CFC" w:rsidRDefault="006E7CFC" w:rsidP="006E7CFC">
      <w:pPr>
        <w:jc w:val="both"/>
      </w:pPr>
      <w:r w:rsidRPr="006E7CFC">
        <w:t>...</w:t>
      </w:r>
    </w:p>
    <w:p w14:paraId="04567484" w14:textId="77777777" w:rsidR="006E7CFC" w:rsidRPr="006E7CFC" w:rsidRDefault="006E7CFC" w:rsidP="006E7CFC">
      <w:pPr>
        <w:jc w:val="both"/>
      </w:pPr>
      <w:r w:rsidRPr="006E7CFC">
        <w:t>Sia per quanto riguarda le pene effettive che quelle potenziali, le carenze delle disposizioni sono chiaramente visibili, data la gravità degli elementi fattuali caratteristici della schiavitù moderna.</w:t>
      </w:r>
    </w:p>
    <w:p w14:paraId="03C08CED" w14:textId="77777777" w:rsidR="006E7CFC" w:rsidRPr="006E7CFC" w:rsidRDefault="006E7CFC" w:rsidP="006E7CFC">
      <w:pPr>
        <w:jc w:val="both"/>
      </w:pPr>
      <w:r w:rsidRPr="006E7CFC">
        <w:t>...</w:t>
      </w:r>
    </w:p>
    <w:p w14:paraId="0CEB1094" w14:textId="77777777" w:rsidR="006E7CFC" w:rsidRPr="006E7CFC" w:rsidRDefault="006E7CFC" w:rsidP="006E7CFC">
      <w:pPr>
        <w:jc w:val="both"/>
      </w:pPr>
      <w:r w:rsidRPr="006E7CFC">
        <w:t>Tenendo presente, da un lato, lo status costituzionale dei valori tutelati dagli articoli 225-13 e 225-14 del Codice penale e, dall’altro, la gravità dei reati in tali casi, l’irrilevanza delle sanzioni inflitte ai colpevoli è sorprendente e solleva interrogativi sulle priorità del sistema di giustizia penale francese.</w:t>
      </w:r>
    </w:p>
    <w:p w14:paraId="30E7C540" w14:textId="77777777" w:rsidR="006E7CFC" w:rsidRPr="006E7CFC" w:rsidRDefault="006E7CFC" w:rsidP="006E7CFC">
      <w:pPr>
        <w:jc w:val="both"/>
      </w:pPr>
      <w:r w:rsidRPr="006E7CFC">
        <w:t>135. La Corte rileva che, nel caso di specie, i “datori di lavoro” del ricorrente sono stati perseguiti ai sensi degli articoli 225-13 e 225-14 del Codice penale, che sanciscono rispettivamente il reato di sfruttare il lavoro di un individuo e di sottoporlo a condizioni di lavoro o di vita incompatibili con la dignità umana.  </w:t>
      </w:r>
    </w:p>
    <w:p w14:paraId="4686E6AA" w14:textId="77777777" w:rsidR="006E7CFC" w:rsidRPr="006E7CFC" w:rsidRDefault="006E7CFC" w:rsidP="006E7CFC">
      <w:pPr>
        <w:jc w:val="both"/>
      </w:pPr>
      <w:r w:rsidRPr="006E7CFC">
        <w:t>136. Nella sentenza pronunciata il 10 giugno 1999, il </w:t>
      </w:r>
      <w:proofErr w:type="spellStart"/>
      <w:r w:rsidRPr="006E7CFC">
        <w:rPr>
          <w:i/>
          <w:iCs/>
        </w:rPr>
        <w:t>tribunal</w:t>
      </w:r>
      <w:proofErr w:type="spellEnd"/>
      <w:r w:rsidRPr="006E7CFC">
        <w:rPr>
          <w:i/>
          <w:iCs/>
        </w:rPr>
        <w:t xml:space="preserve"> de grande </w:t>
      </w:r>
      <w:proofErr w:type="spellStart"/>
      <w:r w:rsidRPr="006E7CFC">
        <w:rPr>
          <w:i/>
          <w:iCs/>
        </w:rPr>
        <w:t>instance</w:t>
      </w:r>
      <w:proofErr w:type="spellEnd"/>
      <w:r w:rsidRPr="006E7CFC">
        <w:rPr>
          <w:i/>
          <w:iCs/>
        </w:rPr>
        <w:t xml:space="preserve"> di Parigi </w:t>
      </w:r>
      <w:r w:rsidRPr="006E7CFC">
        <w:t>ha dichiarato i coniugi B. colpevoli del reato previsto dall'articolo 225-13 del Codice penale. Al contrario, ha ritenuto che il reato previsto dall'articolo 225-14 non fosse stato provato.  </w:t>
      </w:r>
    </w:p>
    <w:p w14:paraId="404BED5C" w14:textId="77777777" w:rsidR="006E7CFC" w:rsidRPr="006E7CFC" w:rsidRDefault="006E7CFC" w:rsidP="006E7CFC">
      <w:pPr>
        <w:jc w:val="both"/>
      </w:pPr>
      <w:r w:rsidRPr="006E7CFC">
        <w:t>137. Gli imputati sono stati condannati a dodici mesi di reclusione, di cui sette con pena sospesa, e a pagare una multa di 100.000 franchi ciascuno e a pagare, in solido, 100.000 franchi al ricorrente a titolo di risarcimento danni.  </w:t>
      </w:r>
    </w:p>
    <w:p w14:paraId="3BDDC7F3" w14:textId="77777777" w:rsidR="006E7CFC" w:rsidRPr="006E7CFC" w:rsidRDefault="006E7CFC" w:rsidP="006E7CFC">
      <w:pPr>
        <w:jc w:val="both"/>
      </w:pPr>
      <w:r w:rsidRPr="006E7CFC">
        <w:lastRenderedPageBreak/>
        <w:t>138. Su ricorso dei coniugi B., la Corte d'appello di Parigi ha pronunciato il 19 ottobre 2000 una sentenza con cui ha annullato la sentenza di primo grado e assolto gli imputati.  </w:t>
      </w:r>
    </w:p>
    <w:p w14:paraId="464C93D6" w14:textId="77777777" w:rsidR="006E7CFC" w:rsidRPr="006E7CFC" w:rsidRDefault="006E7CFC" w:rsidP="006E7CFC">
      <w:pPr>
        <w:jc w:val="both"/>
      </w:pPr>
      <w:r w:rsidRPr="006E7CFC">
        <w:t>139. Su ricorso per cassazione proposto dal solo ricorrente, la Corte di cassazione ha annullato la sentenza della Corte d'appello, ma solo per quanto riguarda i suoi aspetti civili, e la causa è stata rinviata ad altra corte d'appello.  </w:t>
      </w:r>
    </w:p>
    <w:p w14:paraId="02D05B6D" w14:textId="77777777" w:rsidR="006E7CFC" w:rsidRPr="006E7CFC" w:rsidRDefault="006E7CFC" w:rsidP="006E7CFC">
      <w:pPr>
        <w:jc w:val="both"/>
      </w:pPr>
      <w:r w:rsidRPr="006E7CFC">
        <w:t>140. Il 15 maggio 2003 tale tribunale ha emesso una sentenza che confermava le conclusioni del </w:t>
      </w:r>
      <w:proofErr w:type="spellStart"/>
      <w:r w:rsidRPr="006E7CFC">
        <w:rPr>
          <w:i/>
          <w:iCs/>
        </w:rPr>
        <w:t>tribunal</w:t>
      </w:r>
      <w:proofErr w:type="spellEnd"/>
      <w:r w:rsidRPr="006E7CFC">
        <w:rPr>
          <w:i/>
          <w:iCs/>
        </w:rPr>
        <w:t xml:space="preserve"> de première </w:t>
      </w:r>
      <w:proofErr w:type="spellStart"/>
      <w:r w:rsidRPr="006E7CFC">
        <w:rPr>
          <w:i/>
          <w:iCs/>
        </w:rPr>
        <w:t>instance</w:t>
      </w:r>
      <w:proofErr w:type="spellEnd"/>
      <w:r w:rsidRPr="006E7CFC">
        <w:rPr>
          <w:i/>
          <w:iCs/>
        </w:rPr>
        <w:t> </w:t>
      </w:r>
      <w:r w:rsidRPr="006E7CFC">
        <w:t>e ha concesso al ricorrente il risarcimento dei danni.  </w:t>
      </w:r>
    </w:p>
    <w:p w14:paraId="0E50208B" w14:textId="77777777" w:rsidR="006E7CFC" w:rsidRPr="006E7CFC" w:rsidRDefault="006E7CFC" w:rsidP="006E7CFC">
      <w:pPr>
        <w:jc w:val="both"/>
      </w:pPr>
      <w:r w:rsidRPr="006E7CFC">
        <w:t>141. La Corte rileva che la schiavitù e la servitù non sono di per sé considerate reati ai sensi del diritto penale francese.  </w:t>
      </w:r>
    </w:p>
    <w:p w14:paraId="32FD33F7" w14:textId="77777777" w:rsidR="006E7CFC" w:rsidRPr="006E7CFC" w:rsidRDefault="006E7CFC" w:rsidP="006E7CFC">
      <w:pPr>
        <w:jc w:val="both"/>
      </w:pPr>
      <w:r w:rsidRPr="006E7CFC">
        <w:t>142. Il Governo ha fatto riferimento agli articoli 225-13 e 225-14 del Codice penale.  </w:t>
      </w:r>
    </w:p>
    <w:p w14:paraId="36BF4F71" w14:textId="77777777" w:rsidR="006E7CFC" w:rsidRPr="006E7CFC" w:rsidRDefault="006E7CFC" w:rsidP="006E7CFC">
      <w:pPr>
        <w:jc w:val="both"/>
      </w:pPr>
      <w:r w:rsidRPr="006E7CFC">
        <w:t>La Corte rileva tuttavia che tali disposizioni non riguardano specificamente i diritti garantiti dall'articolo 4 della Convenzione, ma riguardano, in modo molto più restrittivo, lo sfruttamento del lavoro e la sottomissione a condizioni di lavoro e di vita incompatibili con la dignità umana.</w:t>
      </w:r>
    </w:p>
    <w:p w14:paraId="64576B2E" w14:textId="77777777" w:rsidR="006E7CFC" w:rsidRPr="006E7CFC" w:rsidRDefault="006E7CFC" w:rsidP="006E7CFC">
      <w:pPr>
        <w:jc w:val="both"/>
      </w:pPr>
      <w:r w:rsidRPr="006E7CFC">
        <w:t>Occorre pertanto stabilire se, nel caso di specie, tali articoli prevedessero sanzioni efficaci per la condotta a cui era stato sottoposto il ricorrente.</w:t>
      </w:r>
    </w:p>
    <w:p w14:paraId="08B7A858" w14:textId="77777777" w:rsidR="006E7CFC" w:rsidRPr="006E7CFC" w:rsidRDefault="006E7CFC" w:rsidP="006E7CFC">
      <w:pPr>
        <w:jc w:val="both"/>
      </w:pPr>
      <w:r w:rsidRPr="006E7CFC">
        <w:t>143. La Corte ha già affermato che i minori e gli altri individui vulnerabili, in particolare, hanno diritto alla protezione dello Stato, sotto forma di deterrenza effettiva, contro tali gravi violazioni dell'integrità personale (vedere, </w:t>
      </w:r>
      <w:proofErr w:type="spellStart"/>
      <w:r w:rsidRPr="006E7CFC">
        <w:rPr>
          <w:i/>
          <w:iCs/>
        </w:rPr>
        <w:t>mutatis</w:t>
      </w:r>
      <w:proofErr w:type="spellEnd"/>
      <w:r w:rsidRPr="006E7CFC">
        <w:rPr>
          <w:i/>
          <w:iCs/>
        </w:rPr>
        <w:t xml:space="preserve"> </w:t>
      </w:r>
      <w:proofErr w:type="spellStart"/>
      <w:r w:rsidRPr="006E7CFC">
        <w:rPr>
          <w:i/>
          <w:iCs/>
        </w:rPr>
        <w:t>mutandis</w:t>
      </w:r>
      <w:proofErr w:type="spellEnd"/>
      <w:r w:rsidRPr="006E7CFC">
        <w:rPr>
          <w:i/>
          <w:iCs/>
        </w:rPr>
        <w:t> </w:t>
      </w:r>
      <w:r w:rsidRPr="006E7CFC">
        <w:t>, </w:t>
      </w:r>
      <w:r w:rsidRPr="006E7CFC">
        <w:rPr>
          <w:i/>
          <w:iCs/>
        </w:rPr>
        <w:t>X e Y contro i Paesi Bassi </w:t>
      </w:r>
      <w:r w:rsidRPr="006E7CFC">
        <w:t>, citato sopra, pp. 11-13, §§ 21-27 ; </w:t>
      </w:r>
      <w:proofErr w:type="spellStart"/>
      <w:r w:rsidRPr="006E7CFC">
        <w:rPr>
          <w:i/>
          <w:iCs/>
        </w:rPr>
        <w:t>Stubbings</w:t>
      </w:r>
      <w:proofErr w:type="spellEnd"/>
      <w:r w:rsidRPr="006E7CFC">
        <w:rPr>
          <w:i/>
          <w:iCs/>
        </w:rPr>
        <w:t xml:space="preserve"> e altri </w:t>
      </w:r>
      <w:r w:rsidRPr="006E7CFC">
        <w:t>, citato sopra, p. 1505, §§ 62-64; e A. </w:t>
      </w:r>
      <w:r w:rsidRPr="006E7CFC">
        <w:rPr>
          <w:i/>
          <w:iCs/>
        </w:rPr>
        <w:t>contro il Regno Unito </w:t>
      </w:r>
      <w:r w:rsidRPr="006E7CFC">
        <w:t>, citato sopra, p. 2699, § 22; e anche la Convenzione delle Nazioni Unite sui diritti del fanciullo, articoli 19 e 37).   </w:t>
      </w:r>
    </w:p>
    <w:p w14:paraId="08C1E946" w14:textId="77777777" w:rsidR="006E7CFC" w:rsidRPr="006E7CFC" w:rsidRDefault="006E7CFC" w:rsidP="006E7CFC">
      <w:pPr>
        <w:jc w:val="both"/>
      </w:pPr>
      <w:r w:rsidRPr="006E7CFC">
        <w:t>144. Inoltre, la Corte ha stabilito in un caso riguardante lo stupro che "la protezione offerta dal diritto civile in caso di illeciti come quelli inflitti alla signorina Y è insufficiente. Si tratta di un caso in cui sono in gioco valori fondamentali e aspetti essenziali della vita privata. Un'efficace deterrenza è indispensabile in questo ambito e può essere conseguita solo mediante disposizioni di diritto penale; è infatti da tali disposizioni che la materia è normalmente regolata" (si veda </w:t>
      </w:r>
      <w:r w:rsidRPr="006E7CFC">
        <w:rPr>
          <w:i/>
          <w:iCs/>
        </w:rPr>
        <w:t>X e Y contro Paesi Bassi </w:t>
      </w:r>
      <w:r w:rsidRPr="006E7CFC">
        <w:t>, cit., p. 13, § 27).  </w:t>
      </w:r>
    </w:p>
    <w:p w14:paraId="121EE9D7" w14:textId="77777777" w:rsidR="006E7CFC" w:rsidRPr="006E7CFC" w:rsidRDefault="006E7CFC" w:rsidP="006E7CFC">
      <w:pPr>
        <w:jc w:val="both"/>
      </w:pPr>
      <w:r w:rsidRPr="006E7CFC">
        <w:t>145. La Corte osserva che, nel caso di specie, il ricorrente, sottoposto a un trattamento contrario all'articolo 4 e tenuto in servitù, non ha potuto vedere i responsabili del reato condannati penalmente.  </w:t>
      </w:r>
    </w:p>
    <w:p w14:paraId="46FD948D" w14:textId="77777777" w:rsidR="006E7CFC" w:rsidRPr="006E7CFC" w:rsidRDefault="006E7CFC" w:rsidP="006E7CFC">
      <w:pPr>
        <w:jc w:val="both"/>
      </w:pPr>
      <w:r w:rsidRPr="006E7CFC">
        <w:t>146. A questo proposito, essa rileva che, poiché il Procuratore generale non ha proposto ricorso per cassazione avverso la sentenza della Corte d'appello del 19 ottobre 2000, il ricorso in Cassazione ha riguardato solo l'aspetto civile della causa e l'assoluzione dei coniugi B. è pertanto divenuta definitiva.  </w:t>
      </w:r>
    </w:p>
    <w:p w14:paraId="0938CEF3" w14:textId="77777777" w:rsidR="006E7CFC" w:rsidRPr="006E7CFC" w:rsidRDefault="006E7CFC" w:rsidP="006E7CFC">
      <w:pPr>
        <w:jc w:val="both"/>
      </w:pPr>
      <w:r w:rsidRPr="006E7CFC">
        <w:t xml:space="preserve">147. Inoltre, secondo la relazione del 12 dicembre 2001 della task force congiunta dell'Assemblea nazionale francese sulle diverse forme di schiavitù moderna, gli articoli 225-13 e 225-14 del Codice </w:t>
      </w:r>
      <w:r w:rsidRPr="006E7CFC">
        <w:lastRenderedPageBreak/>
        <w:t>penale, così come formulati all'epoca dei fatti, erano aperti a interpretazioni molto diverse da una corte all'altra, come dimostra questo caso, che, in effetti, è stato citato dalla task force come esempio di un caso in cui una corte d'appello aveva inaspettatamente rifiutato di applicare gli articoli 225-13 e 225-14.  </w:t>
      </w:r>
    </w:p>
    <w:p w14:paraId="6367FF11" w14:textId="77777777" w:rsidR="006E7CFC" w:rsidRPr="006E7CFC" w:rsidRDefault="006E7CFC" w:rsidP="006E7CFC">
      <w:pPr>
        <w:jc w:val="both"/>
      </w:pPr>
      <w:r w:rsidRPr="006E7CFC">
        <w:t>148. In tali circostanze, la Corte ritiene che la normativa penale vigente all'epoca dei fatti non garantisse alla ricorrente una tutela minima, pratica ed effettiva contro gli atti di cui era vittima.  </w:t>
      </w:r>
    </w:p>
    <w:p w14:paraId="27B11142" w14:textId="77777777" w:rsidR="006E7CFC" w:rsidRPr="006E7CFC" w:rsidRDefault="006E7CFC" w:rsidP="006E7CFC">
      <w:pPr>
        <w:jc w:val="both"/>
      </w:pPr>
      <w:r w:rsidRPr="006E7CFC">
        <w:t>Si rileva che la legislazione è stata modificata, ma che le modifiche apportate successivamente non erano applicabili alla situazione del ricorrente.</w:t>
      </w:r>
    </w:p>
    <w:p w14:paraId="4EEFE1E6" w14:textId="77777777" w:rsidR="006E7CFC" w:rsidRPr="006E7CFC" w:rsidRDefault="006E7CFC" w:rsidP="006E7CFC">
      <w:pPr>
        <w:jc w:val="both"/>
      </w:pPr>
      <w:r w:rsidRPr="006E7CFC">
        <w:t>Sottolinea che lo standard sempre più elevato richiesto nell'ambito della tutela dei diritti umani e delle libertà fondamentali richiede di conseguenza e inevitabilmente una maggiore fermezza nel valutare le violazioni dei valori fondamentali delle società democratiche (vedere paragrafo 121 sopra).</w:t>
      </w:r>
    </w:p>
    <w:p w14:paraId="63BA14FC" w14:textId="77777777" w:rsidR="006E7CFC" w:rsidRPr="006E7CFC" w:rsidRDefault="006E7CFC" w:rsidP="006E7CFC">
      <w:pPr>
        <w:jc w:val="both"/>
      </w:pPr>
      <w:r w:rsidRPr="006E7CFC">
        <w:t>149. La Corte ritiene pertanto che nel caso di specie vi sia stata violazione degli obblighi positivi dello Stato convenuto ai sensi dell'articolo 4 della Convenzione.  </w:t>
      </w:r>
    </w:p>
    <w:p w14:paraId="74C3FEFB" w14:textId="77777777" w:rsidR="006E7CFC" w:rsidRPr="006E7CFC" w:rsidRDefault="006E7CFC" w:rsidP="006E7CFC">
      <w:pPr>
        <w:jc w:val="both"/>
      </w:pPr>
      <w:r w:rsidRPr="006E7CFC">
        <w:t>II. APPLICAZIONE DELL'ARTICOLO 41 DELLA CONVENZIONE  </w:t>
      </w:r>
    </w:p>
    <w:p w14:paraId="1E19D18E" w14:textId="77777777" w:rsidR="006E7CFC" w:rsidRPr="006E7CFC" w:rsidRDefault="006E7CFC" w:rsidP="006E7CFC">
      <w:pPr>
        <w:jc w:val="both"/>
      </w:pPr>
      <w:r w:rsidRPr="006E7CFC">
        <w:t>150. L'articolo 41 della Convenzione prevede:  </w:t>
      </w:r>
    </w:p>
    <w:p w14:paraId="5F88FD7D" w14:textId="77777777" w:rsidR="006E7CFC" w:rsidRPr="006E7CFC" w:rsidRDefault="006E7CFC" w:rsidP="006E7CFC">
      <w:pPr>
        <w:jc w:val="both"/>
      </w:pPr>
      <w:r w:rsidRPr="006E7CFC">
        <w:t>“Se la Corte accerta che vi è stata violazione della Convenzione o dei suoi Protocolli e se il diritto interno dell’Alta Parte contraente interessata consente solo una riparazione parziale, la Corte accorda, se necessario, un’equa soddisfazione alla parte lesa.”</w:t>
      </w:r>
    </w:p>
    <w:p w14:paraId="25719A80" w14:textId="77777777" w:rsidR="006E7CFC" w:rsidRPr="006E7CFC" w:rsidRDefault="006E7CFC" w:rsidP="006E7CFC">
      <w:pPr>
        <w:jc w:val="both"/>
      </w:pPr>
      <w:r w:rsidRPr="006E7CFC">
        <w:rPr>
          <w:b/>
          <w:bCs/>
        </w:rPr>
        <w:t>A. Danni  </w:t>
      </w:r>
    </w:p>
    <w:p w14:paraId="1240DE2B" w14:textId="77777777" w:rsidR="006E7CFC" w:rsidRPr="006E7CFC" w:rsidRDefault="006E7CFC" w:rsidP="006E7CFC">
      <w:pPr>
        <w:jc w:val="both"/>
      </w:pPr>
      <w:r w:rsidRPr="006E7CFC">
        <w:t>151. Il ricorrente non ha avanzato alcuna richiesta di risarcimento danni.  </w:t>
      </w:r>
    </w:p>
    <w:p w14:paraId="5D97DDE7" w14:textId="77777777" w:rsidR="006E7CFC" w:rsidRPr="006E7CFC" w:rsidRDefault="006E7CFC" w:rsidP="006E7CFC">
      <w:pPr>
        <w:jc w:val="both"/>
      </w:pPr>
      <w:r w:rsidRPr="006E7CFC">
        <w:rPr>
          <w:b/>
          <w:bCs/>
        </w:rPr>
        <w:t>B. Costi e spese  </w:t>
      </w:r>
    </w:p>
    <w:p w14:paraId="2628CF4C" w14:textId="77777777" w:rsidR="006E7CFC" w:rsidRPr="006E7CFC" w:rsidRDefault="006E7CFC" w:rsidP="006E7CFC">
      <w:pPr>
        <w:jc w:val="both"/>
      </w:pPr>
      <w:r w:rsidRPr="006E7CFC">
        <w:t>152. Il ricorrente chiedeva 26.209,69 euro per le spese di rappresentanza legale, da cui dovevano essere dedotte le somme percepite a titolo di assistenza legale.  </w:t>
      </w:r>
    </w:p>
    <w:p w14:paraId="06A54B10" w14:textId="77777777" w:rsidR="006E7CFC" w:rsidRPr="006E7CFC" w:rsidRDefault="006E7CFC" w:rsidP="006E7CFC">
      <w:pPr>
        <w:jc w:val="both"/>
      </w:pPr>
      <w:r w:rsidRPr="006E7CFC">
        <w:t>153. Il Governo ha innanzitutto osservato che la ricorrente non aveva prodotto alcuna prova del pagamento di tale somma.  </w:t>
      </w:r>
    </w:p>
    <w:p w14:paraId="0E3D5DFC" w14:textId="77777777" w:rsidR="006E7CFC" w:rsidRPr="006E7CFC" w:rsidRDefault="006E7CFC" w:rsidP="006E7CFC">
      <w:pPr>
        <w:jc w:val="both"/>
      </w:pPr>
      <w:r w:rsidRPr="006E7CFC">
        <w:t>Hanno inoltre ritenuto che l'importo richiesto fosse eccessivo e dovesse essere ridotto a un livello più ragionevole.</w:t>
      </w:r>
    </w:p>
    <w:p w14:paraId="634B56B9" w14:textId="77777777" w:rsidR="006E7CFC" w:rsidRPr="006E7CFC" w:rsidRDefault="006E7CFC" w:rsidP="006E7CFC">
      <w:pPr>
        <w:jc w:val="both"/>
      </w:pPr>
      <w:r w:rsidRPr="006E7CFC">
        <w:t>154. La Corte ritiene che il rappresentante del ricorrente abbia indubbiamente svolto un lavoro considerevole per presentare e argomentare il presente ricorso, che riguarda un settore in cui, ad oggi, la giurisprudenza è molto scarsa.  </w:t>
      </w:r>
    </w:p>
    <w:p w14:paraId="5C4AF0AA" w14:textId="77777777" w:rsidR="006E7CFC" w:rsidRPr="006E7CFC" w:rsidRDefault="006E7CFC" w:rsidP="006E7CFC">
      <w:pPr>
        <w:jc w:val="both"/>
      </w:pPr>
      <w:r w:rsidRPr="006E7CFC">
        <w:t>In tali circostanze, la Corte, pronunciandosi secondo equità, accorda al ricorrente l'intero importo richiesto a titolo di spese.</w:t>
      </w:r>
    </w:p>
    <w:p w14:paraId="41FF9475" w14:textId="77777777" w:rsidR="006E7CFC" w:rsidRPr="006E7CFC" w:rsidRDefault="006E7CFC" w:rsidP="006E7CFC">
      <w:pPr>
        <w:jc w:val="both"/>
      </w:pPr>
      <w:r w:rsidRPr="006E7CFC">
        <w:rPr>
          <w:b/>
          <w:bCs/>
        </w:rPr>
        <w:t>C. Interessi di mora  </w:t>
      </w:r>
    </w:p>
    <w:p w14:paraId="04EF1929" w14:textId="77777777" w:rsidR="006E7CFC" w:rsidRPr="006E7CFC" w:rsidRDefault="006E7CFC" w:rsidP="006E7CFC">
      <w:pPr>
        <w:jc w:val="both"/>
      </w:pPr>
      <w:r w:rsidRPr="006E7CFC">
        <w:lastRenderedPageBreak/>
        <w:t>155. La Corte ritiene opportuno che gli interessi di mora siano calcolati su un tasso annuo pari al tasso di prestito marginale della Banca centrale europea, a cui vanno aggiunti tre punti percentuali.  </w:t>
      </w:r>
    </w:p>
    <w:p w14:paraId="63A4E666" w14:textId="77777777" w:rsidR="006E7CFC" w:rsidRPr="006E7CFC" w:rsidRDefault="006E7CFC" w:rsidP="006E7CFC">
      <w:pPr>
        <w:jc w:val="both"/>
      </w:pPr>
      <w:r w:rsidRPr="006E7CFC">
        <w:t>PER QUESTE RAGIONI, LA CORTE ALL'UNANIMITÀ</w:t>
      </w:r>
    </w:p>
    <w:p w14:paraId="4827D336" w14:textId="77777777" w:rsidR="006E7CFC" w:rsidRPr="006E7CFC" w:rsidRDefault="006E7CFC" w:rsidP="006E7CFC">
      <w:pPr>
        <w:jc w:val="both"/>
      </w:pPr>
      <w:r w:rsidRPr="006E7CFC">
        <w:t>1. </w:t>
      </w:r>
      <w:r w:rsidRPr="006E7CFC">
        <w:rPr>
          <w:i/>
          <w:iCs/>
        </w:rPr>
        <w:t>Respinge </w:t>
      </w:r>
      <w:r w:rsidRPr="006E7CFC">
        <w:t>l'eccezione preliminare del Governo basata sulla perdita della qualità di vittima del ricorrente;  </w:t>
      </w:r>
    </w:p>
    <w:p w14:paraId="3ADE97A2" w14:textId="77777777" w:rsidR="006E7CFC" w:rsidRPr="006E7CFC" w:rsidRDefault="006E7CFC" w:rsidP="006E7CFC">
      <w:pPr>
        <w:jc w:val="both"/>
      </w:pPr>
      <w:r w:rsidRPr="006E7CFC">
        <w:t>2. </w:t>
      </w:r>
      <w:r w:rsidRPr="006E7CFC">
        <w:rPr>
          <w:i/>
          <w:iCs/>
        </w:rPr>
        <w:t>Ritiene </w:t>
      </w:r>
      <w:r w:rsidRPr="006E7CFC">
        <w:t>che vi sia stata violazione dell'articolo 4 della Convenzione;  </w:t>
      </w:r>
    </w:p>
    <w:p w14:paraId="306D14F1" w14:textId="7DED8FC2" w:rsidR="006E7CFC" w:rsidRPr="006E7CFC" w:rsidRDefault="006E7CFC" w:rsidP="006E7CFC">
      <w:pPr>
        <w:jc w:val="both"/>
      </w:pPr>
      <w:r w:rsidRPr="006E7CFC">
        <w:t>3. </w:t>
      </w:r>
      <w:r w:rsidRPr="006E7CFC">
        <w:rPr>
          <w:i/>
          <w:iCs/>
        </w:rPr>
        <w:t>Ritiene </w:t>
      </w:r>
      <w:r w:rsidRPr="006E7CFC">
        <w:t>:</w:t>
      </w:r>
    </w:p>
    <w:p w14:paraId="63C92BA7" w14:textId="77777777" w:rsidR="006E7CFC" w:rsidRPr="006E7CFC" w:rsidRDefault="006E7CFC" w:rsidP="006E7CFC">
      <w:pPr>
        <w:jc w:val="both"/>
      </w:pPr>
      <w:r w:rsidRPr="006E7CFC">
        <w:t>a) che lo Stato convenuto deve versare al ricorrente, entro tre mesi dalla data in cui la sentenza diventa definitiva ai sensi dell'articolo 44 § 2 della Convenzione, 26.209,69 euro (</w:t>
      </w:r>
      <w:proofErr w:type="spellStart"/>
      <w:r w:rsidRPr="006E7CFC">
        <w:t>ventiseimiladuecentonove</w:t>
      </w:r>
      <w:proofErr w:type="spellEnd"/>
      <w:r w:rsidRPr="006E7CFC">
        <w:t xml:space="preserve"> euro e sessantanove centesimi) a titolo di spese processuali, oltre a qualsiasi imposta eventualmente dovuta;   </w:t>
      </w:r>
    </w:p>
    <w:p w14:paraId="379C9829" w14:textId="77777777" w:rsidR="006E7CFC" w:rsidRPr="006E7CFC" w:rsidRDefault="006E7CFC" w:rsidP="006E7CFC">
      <w:pPr>
        <w:jc w:val="both"/>
      </w:pPr>
      <w:r w:rsidRPr="006E7CFC">
        <w:t>b) che le somme ricevute a titolo di assistenza legale siano dedotte da tale importo;  </w:t>
      </w:r>
    </w:p>
    <w:p w14:paraId="0D86255B" w14:textId="77777777" w:rsidR="006E7CFC" w:rsidRPr="006E7CFC" w:rsidRDefault="006E7CFC" w:rsidP="006E7CFC">
      <w:pPr>
        <w:jc w:val="both"/>
      </w:pPr>
      <w:r w:rsidRPr="006E7CFC">
        <w:t>c) che dalla scadenza dei tre mesi sopra menzionati fino al regolamento saranno dovuti interessi semplici sull'importo di cui sopra ad un tasso pari al tasso di prestito marginale della Banca centrale europea durante il periodo di inadempimento più tre punti percentuali.  </w:t>
      </w:r>
    </w:p>
    <w:p w14:paraId="1D125BDA" w14:textId="77777777" w:rsidR="006E7CFC" w:rsidRPr="006E7CFC" w:rsidRDefault="006E7CFC" w:rsidP="006E7CFC">
      <w:pPr>
        <w:jc w:val="both"/>
      </w:pPr>
      <w:r w:rsidRPr="006E7CFC">
        <w:t>Redatto in francese e notificato per iscritto il 26 luglio 2005, ai sensi dell'articolo 77 §§ 2 e 3 del Regolamento della Corte.</w:t>
      </w:r>
    </w:p>
    <w:p w14:paraId="45ABD41C" w14:textId="7CC2F056" w:rsidR="006E7CFC" w:rsidRDefault="00DC71A7" w:rsidP="006E7CFC">
      <w:pPr>
        <w:jc w:val="both"/>
      </w:pPr>
      <w:proofErr w:type="spellStart"/>
      <w:r>
        <w:t>I</w:t>
      </w:r>
      <w:r w:rsidR="006E7CFC" w:rsidRPr="006E7CFC">
        <w:t>reneu</w:t>
      </w:r>
      <w:proofErr w:type="spellEnd"/>
      <w:r w:rsidR="006E7CFC" w:rsidRPr="006E7CFC">
        <w:t xml:space="preserve"> C ABRAL B ARRETO</w:t>
      </w:r>
      <w:r>
        <w:t xml:space="preserve"> Presidente</w:t>
      </w:r>
    </w:p>
    <w:p w14:paraId="74123BFD" w14:textId="29842E52" w:rsidR="00DC71A7" w:rsidRDefault="00DC71A7" w:rsidP="00DC71A7">
      <w:pPr>
        <w:jc w:val="both"/>
      </w:pPr>
      <w:r w:rsidRPr="006E7CFC">
        <w:t>Stanley N AISMITH I</w:t>
      </w:r>
      <w:r>
        <w:t xml:space="preserve"> Cancelliere</w:t>
      </w:r>
    </w:p>
    <w:sectPr w:rsidR="00DC71A7">
      <w:footerReference w:type="default" r:id="rId2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F3B0" w14:textId="77777777" w:rsidR="001B242A" w:rsidRDefault="001B242A" w:rsidP="006E7CFC">
      <w:pPr>
        <w:spacing w:after="0" w:line="240" w:lineRule="auto"/>
      </w:pPr>
      <w:r>
        <w:separator/>
      </w:r>
    </w:p>
  </w:endnote>
  <w:endnote w:type="continuationSeparator" w:id="0">
    <w:p w14:paraId="1CC17D60" w14:textId="77777777" w:rsidR="001B242A" w:rsidRDefault="001B242A" w:rsidP="006E7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983719"/>
      <w:docPartObj>
        <w:docPartGallery w:val="Page Numbers (Bottom of Page)"/>
        <w:docPartUnique/>
      </w:docPartObj>
    </w:sdtPr>
    <w:sdtContent>
      <w:p w14:paraId="02168B6F" w14:textId="4AF7A2D7" w:rsidR="006E7CFC" w:rsidRDefault="006E7CFC">
        <w:pPr>
          <w:pStyle w:val="Pidipagina"/>
          <w:jc w:val="center"/>
        </w:pPr>
        <w:r>
          <w:fldChar w:fldCharType="begin"/>
        </w:r>
        <w:r>
          <w:instrText>PAGE   \* MERGEFORMAT</w:instrText>
        </w:r>
        <w:r>
          <w:fldChar w:fldCharType="separate"/>
        </w:r>
        <w:r>
          <w:t>2</w:t>
        </w:r>
        <w:r>
          <w:fldChar w:fldCharType="end"/>
        </w:r>
      </w:p>
    </w:sdtContent>
  </w:sdt>
  <w:p w14:paraId="7803640E" w14:textId="77777777" w:rsidR="006E7CFC" w:rsidRDefault="006E7C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85F81" w14:textId="77777777" w:rsidR="001B242A" w:rsidRDefault="001B242A" w:rsidP="006E7CFC">
      <w:pPr>
        <w:spacing w:after="0" w:line="240" w:lineRule="auto"/>
      </w:pPr>
      <w:r>
        <w:separator/>
      </w:r>
    </w:p>
  </w:footnote>
  <w:footnote w:type="continuationSeparator" w:id="0">
    <w:p w14:paraId="6DC94289" w14:textId="77777777" w:rsidR="001B242A" w:rsidRDefault="001B242A" w:rsidP="006E7C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FC"/>
    <w:rsid w:val="001B242A"/>
    <w:rsid w:val="003C3531"/>
    <w:rsid w:val="003E30D8"/>
    <w:rsid w:val="006E7CFC"/>
    <w:rsid w:val="0078364A"/>
    <w:rsid w:val="00BB24E6"/>
    <w:rsid w:val="00DC71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90D7"/>
  <w15:chartTrackingRefBased/>
  <w15:docId w15:val="{71518A69-F1EA-4D34-B261-82A50D8D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E7C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E7C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E7CF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E7CF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E7CF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E7CF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7CF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7CF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7CF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7CF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E7CF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E7CF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E7CF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E7CF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E7CF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7CF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7CF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7CF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7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7CF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7CF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7CF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7CF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7CFC"/>
    <w:rPr>
      <w:i/>
      <w:iCs/>
      <w:color w:val="404040" w:themeColor="text1" w:themeTint="BF"/>
    </w:rPr>
  </w:style>
  <w:style w:type="paragraph" w:styleId="Paragrafoelenco">
    <w:name w:val="List Paragraph"/>
    <w:basedOn w:val="Normale"/>
    <w:uiPriority w:val="34"/>
    <w:qFormat/>
    <w:rsid w:val="006E7CFC"/>
    <w:pPr>
      <w:ind w:left="720"/>
      <w:contextualSpacing/>
    </w:pPr>
  </w:style>
  <w:style w:type="character" w:styleId="Enfasiintensa">
    <w:name w:val="Intense Emphasis"/>
    <w:basedOn w:val="Carpredefinitoparagrafo"/>
    <w:uiPriority w:val="21"/>
    <w:qFormat/>
    <w:rsid w:val="006E7CFC"/>
    <w:rPr>
      <w:i/>
      <w:iCs/>
      <w:color w:val="2F5496" w:themeColor="accent1" w:themeShade="BF"/>
    </w:rPr>
  </w:style>
  <w:style w:type="paragraph" w:styleId="Citazioneintensa">
    <w:name w:val="Intense Quote"/>
    <w:basedOn w:val="Normale"/>
    <w:next w:val="Normale"/>
    <w:link w:val="CitazioneintensaCarattere"/>
    <w:uiPriority w:val="30"/>
    <w:qFormat/>
    <w:rsid w:val="006E7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E7CFC"/>
    <w:rPr>
      <w:i/>
      <w:iCs/>
      <w:color w:val="2F5496" w:themeColor="accent1" w:themeShade="BF"/>
    </w:rPr>
  </w:style>
  <w:style w:type="character" w:styleId="Riferimentointenso">
    <w:name w:val="Intense Reference"/>
    <w:basedOn w:val="Carpredefinitoparagrafo"/>
    <w:uiPriority w:val="32"/>
    <w:qFormat/>
    <w:rsid w:val="006E7CFC"/>
    <w:rPr>
      <w:b/>
      <w:bCs/>
      <w:smallCaps/>
      <w:color w:val="2F5496" w:themeColor="accent1" w:themeShade="BF"/>
      <w:spacing w:val="5"/>
    </w:rPr>
  </w:style>
  <w:style w:type="character" w:styleId="Collegamentoipertestuale">
    <w:name w:val="Hyperlink"/>
    <w:basedOn w:val="Carpredefinitoparagrafo"/>
    <w:uiPriority w:val="99"/>
    <w:unhideWhenUsed/>
    <w:rsid w:val="006E7CFC"/>
    <w:rPr>
      <w:color w:val="0563C1" w:themeColor="hyperlink"/>
      <w:u w:val="single"/>
    </w:rPr>
  </w:style>
  <w:style w:type="character" w:styleId="Menzionenonrisolta">
    <w:name w:val="Unresolved Mention"/>
    <w:basedOn w:val="Carpredefinitoparagrafo"/>
    <w:uiPriority w:val="99"/>
    <w:semiHidden/>
    <w:unhideWhenUsed/>
    <w:rsid w:val="006E7CFC"/>
    <w:rPr>
      <w:color w:val="605E5C"/>
      <w:shd w:val="clear" w:color="auto" w:fill="E1DFDD"/>
    </w:rPr>
  </w:style>
  <w:style w:type="paragraph" w:styleId="Intestazione">
    <w:name w:val="header"/>
    <w:basedOn w:val="Normale"/>
    <w:link w:val="IntestazioneCarattere"/>
    <w:uiPriority w:val="99"/>
    <w:unhideWhenUsed/>
    <w:rsid w:val="006E7C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7CFC"/>
  </w:style>
  <w:style w:type="paragraph" w:styleId="Pidipagina">
    <w:name w:val="footer"/>
    <w:basedOn w:val="Normale"/>
    <w:link w:val="PidipaginaCarattere"/>
    <w:uiPriority w:val="99"/>
    <w:unhideWhenUsed/>
    <w:rsid w:val="006E7C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7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hudoc.echr.coe.int/eng" TargetMode="External"/><Relationship Id="rId18" Type="http://schemas.openxmlformats.org/officeDocument/2006/relationships/hyperlink" Target="https://hudoc.echr.coe.int/en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hudoc.echr.coe.int/eng" TargetMode="External"/><Relationship Id="rId7" Type="http://schemas.openxmlformats.org/officeDocument/2006/relationships/hyperlink" Target="https://hudoc.echr.coe.int/eng" TargetMode="Externa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1" Type="http://schemas.openxmlformats.org/officeDocument/2006/relationships/styles" Target="styles.xml"/><Relationship Id="rId6" Type="http://schemas.openxmlformats.org/officeDocument/2006/relationships/hyperlink" Target="https://hudoc.echr.coe.int/eng" TargetMode="External"/><Relationship Id="rId11" Type="http://schemas.openxmlformats.org/officeDocument/2006/relationships/hyperlink" Target="https://hudoc.echr.coe.int/eng"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hudoc.echr.coe.int/eng" TargetMode="External"/><Relationship Id="rId23" Type="http://schemas.openxmlformats.org/officeDocument/2006/relationships/hyperlink" Target="https://hudoc.echr.coe.int/eng" TargetMode="External"/><Relationship Id="rId10"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4" Type="http://schemas.openxmlformats.org/officeDocument/2006/relationships/footnotes" Target="footnotes.xm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36</Pages>
  <Words>15635</Words>
  <Characters>89122</Characters>
  <Application>Microsoft Office Word</Application>
  <DocSecurity>0</DocSecurity>
  <Lines>742</Lines>
  <Paragraphs>209</Paragraphs>
  <ScaleCrop>false</ScaleCrop>
  <Company>Ministero della Giustizia</Company>
  <LinksUpToDate>false</LinksUpToDate>
  <CharactersWithSpaces>104548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2</cp:revision>
  <dcterms:created xsi:type="dcterms:W3CDTF">2025-11-04T08:02:00Z</dcterms:created>
  <dcterms:modified xsi:type="dcterms:W3CDTF">2025-11-06T10:43:00Z</dcterms:modified>
</cp:coreProperties>
</file>