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o"/>
    <w:p w14:paraId="1983ECDB" w14:textId="4FFB230C" w:rsidR="00E3105A" w:rsidRDefault="00E3105A" w:rsidP="00E3105A">
      <w:pPr>
        <w:jc w:val="center"/>
        <w:rPr>
          <w:b/>
          <w:bCs/>
        </w:rPr>
      </w:pPr>
      <w:r>
        <w:rPr>
          <w:b/>
          <w:bCs/>
        </w:rPr>
        <w:fldChar w:fldCharType="begin"/>
      </w:r>
      <w:r>
        <w:rPr>
          <w:b/>
          <w:bCs/>
        </w:rPr>
        <w:instrText>HYPERLINK "</w:instrText>
      </w:r>
      <w:r w:rsidRPr="00E3105A">
        <w:rPr>
          <w:b/>
          <w:bCs/>
        </w:rPr>
        <w:instrText>https://hudoc.echr.coe.int</w:instrText>
      </w:r>
      <w:r>
        <w:rPr>
          <w:b/>
          <w:bCs/>
        </w:rPr>
        <w:instrText>"</w:instrText>
      </w:r>
      <w:r>
        <w:rPr>
          <w:b/>
          <w:bCs/>
        </w:rPr>
      </w:r>
      <w:r>
        <w:rPr>
          <w:b/>
          <w:bCs/>
        </w:rPr>
        <w:fldChar w:fldCharType="separate"/>
      </w:r>
      <w:r w:rsidRPr="001C19D4">
        <w:rPr>
          <w:rStyle w:val="Collegamentoipertestuale"/>
          <w:b/>
          <w:bCs/>
        </w:rPr>
        <w:t>https://hudoc.echr.coe.int</w:t>
      </w:r>
      <w:r>
        <w:rPr>
          <w:b/>
          <w:bCs/>
        </w:rPr>
        <w:fldChar w:fldCharType="end"/>
      </w:r>
      <w:r>
        <w:rPr>
          <w:b/>
          <w:bCs/>
        </w:rPr>
        <w:t xml:space="preserve"> </w:t>
      </w:r>
    </w:p>
    <w:p w14:paraId="3CA22D0A" w14:textId="77777777" w:rsidR="00EE4CC3" w:rsidRPr="00147FC8" w:rsidRDefault="00EE4CC3" w:rsidP="00EE4CC3">
      <w:pPr>
        <w:jc w:val="center"/>
      </w:pPr>
      <w:r w:rsidRPr="00147FC8">
        <w:t>CORTE EUROPEA DEI DIRITTI DELL’UOMO</w:t>
      </w:r>
    </w:p>
    <w:p w14:paraId="41590498" w14:textId="601B7C7F" w:rsidR="00E3105A" w:rsidRPr="00E3105A" w:rsidRDefault="00E3105A" w:rsidP="00E3105A">
      <w:pPr>
        <w:jc w:val="center"/>
      </w:pPr>
      <w:r w:rsidRPr="00E3105A">
        <w:rPr>
          <w:b/>
          <w:bCs/>
        </w:rPr>
        <w:t>CASO MENNITTO</w:t>
      </w:r>
      <w:bookmarkEnd w:id="0"/>
      <w:r w:rsidRPr="00E3105A">
        <w:rPr>
          <w:b/>
          <w:bCs/>
        </w:rPr>
        <w:t> CONTRO ITALIA</w:t>
      </w:r>
    </w:p>
    <w:p w14:paraId="44C72639" w14:textId="77777777" w:rsidR="00E3105A" w:rsidRPr="00E3105A" w:rsidRDefault="00E3105A" w:rsidP="00E3105A">
      <w:pPr>
        <w:jc w:val="both"/>
      </w:pPr>
      <w:r w:rsidRPr="00E3105A">
        <w:rPr>
          <w:i/>
          <w:iCs/>
        </w:rPr>
        <w:t>(Numero di domanda/ Numero di domanda </w:t>
      </w:r>
      <w:hyperlink r:id="rId6" w:anchor="{%22appno%22:[%2233804/96%22]}" w:tgtFrame="_blank" w:history="1">
        <w:r w:rsidRPr="00E3105A">
          <w:rPr>
            <w:rStyle w:val="Collegamentoipertestuale"/>
            <w:i/>
            <w:iCs/>
          </w:rPr>
          <w:t>33804/96</w:t>
        </w:r>
      </w:hyperlink>
      <w:r w:rsidRPr="00E3105A">
        <w:rPr>
          <w:i/>
          <w:iCs/>
        </w:rPr>
        <w:t> )</w:t>
      </w:r>
    </w:p>
    <w:p w14:paraId="5F38FC7D" w14:textId="77777777" w:rsidR="00E3105A" w:rsidRPr="00E3105A" w:rsidRDefault="00E3105A" w:rsidP="00E3105A">
      <w:pPr>
        <w:jc w:val="both"/>
      </w:pPr>
      <w:r w:rsidRPr="00E3105A">
        <w:t>STRASBURGO</w:t>
      </w:r>
    </w:p>
    <w:p w14:paraId="03B0354D" w14:textId="77777777" w:rsidR="00E3105A" w:rsidRPr="00E3105A" w:rsidRDefault="00E3105A" w:rsidP="00E3105A">
      <w:pPr>
        <w:jc w:val="both"/>
      </w:pPr>
      <w:r w:rsidRPr="00E3105A">
        <w:t>5 ottobre 2000</w:t>
      </w:r>
    </w:p>
    <w:p w14:paraId="31578193" w14:textId="77777777" w:rsidR="00E3105A" w:rsidRPr="00E3105A" w:rsidRDefault="00E3105A" w:rsidP="00E3105A">
      <w:pPr>
        <w:jc w:val="both"/>
      </w:pPr>
      <w:r w:rsidRPr="00E3105A">
        <w:rPr>
          <w:b/>
          <w:bCs/>
        </w:rPr>
        <w:t xml:space="preserve">Nel caso </w:t>
      </w:r>
      <w:proofErr w:type="spellStart"/>
      <w:r w:rsidRPr="00E3105A">
        <w:rPr>
          <w:b/>
          <w:bCs/>
        </w:rPr>
        <w:t>Mennitto</w:t>
      </w:r>
      <w:proofErr w:type="spellEnd"/>
      <w:r w:rsidRPr="00E3105A">
        <w:rPr>
          <w:b/>
          <w:bCs/>
        </w:rPr>
        <w:t xml:space="preserve"> contro Italia,</w:t>
      </w:r>
    </w:p>
    <w:p w14:paraId="0512A2BF" w14:textId="77777777" w:rsidR="00E3105A" w:rsidRPr="00E3105A" w:rsidRDefault="00E3105A" w:rsidP="00E3105A">
      <w:pPr>
        <w:jc w:val="both"/>
      </w:pPr>
      <w:r w:rsidRPr="00E3105A">
        <w:t>La Corte europea dei diritti dell'uomo, riunita in una Grande Camera composta dai seguenti giudici:</w:t>
      </w:r>
    </w:p>
    <w:p w14:paraId="24C02A67" w14:textId="77777777" w:rsidR="00E3105A" w:rsidRDefault="00E3105A" w:rsidP="00E3105A">
      <w:pPr>
        <w:jc w:val="both"/>
      </w:pPr>
      <w:r w:rsidRPr="00E3105A">
        <w:t> </w:t>
      </w:r>
      <w:proofErr w:type="spellStart"/>
      <w:r w:rsidRPr="00E3105A">
        <w:t>Sig</w:t>
      </w:r>
      <w:proofErr w:type="spellEnd"/>
      <w:r w:rsidRPr="00E3105A">
        <w:t> L. Wildhaber , </w:t>
      </w:r>
      <w:r w:rsidRPr="00E3105A">
        <w:rPr>
          <w:i/>
          <w:iCs/>
        </w:rPr>
        <w:t>Presidente </w:t>
      </w:r>
      <w:r w:rsidRPr="00E3105A">
        <w:t>,</w:t>
      </w:r>
      <w:r w:rsidRPr="00E3105A">
        <w:br/>
        <w:t> Sig.ra E. Palma ,</w:t>
      </w:r>
      <w:r w:rsidRPr="00E3105A">
        <w:br/>
        <w:t> </w:t>
      </w:r>
      <w:proofErr w:type="spellStart"/>
      <w:r w:rsidRPr="00E3105A">
        <w:t>Sig</w:t>
      </w:r>
      <w:proofErr w:type="spellEnd"/>
      <w:r w:rsidRPr="00E3105A">
        <w:t> J.-P. Costa,</w:t>
      </w:r>
      <w:r w:rsidRPr="00E3105A">
        <w:br/>
        <w:t> </w:t>
      </w:r>
      <w:proofErr w:type="spellStart"/>
      <w:r w:rsidRPr="00E3105A">
        <w:t>Sig</w:t>
      </w:r>
      <w:proofErr w:type="spellEnd"/>
      <w:r w:rsidRPr="00E3105A">
        <w:t xml:space="preserve"> A. Pastore </w:t>
      </w:r>
      <w:proofErr w:type="spellStart"/>
      <w:r w:rsidRPr="00E3105A">
        <w:t>Ridruejo</w:t>
      </w:r>
      <w:proofErr w:type="spellEnd"/>
      <w:r w:rsidRPr="00E3105A">
        <w:t> ,</w:t>
      </w:r>
    </w:p>
    <w:p w14:paraId="5106B1AE" w14:textId="5BDC128A" w:rsidR="00E3105A" w:rsidRDefault="00E3105A" w:rsidP="00E3105A">
      <w:pPr>
        <w:jc w:val="both"/>
      </w:pPr>
      <w:r w:rsidRPr="00E3105A">
        <w:t> </w:t>
      </w:r>
      <w:proofErr w:type="spellStart"/>
      <w:r w:rsidRPr="00E3105A">
        <w:t>Sig</w:t>
      </w:r>
      <w:proofErr w:type="spellEnd"/>
      <w:r w:rsidRPr="00E3105A">
        <w:t> L. Ferrari Bravo,</w:t>
      </w:r>
    </w:p>
    <w:p w14:paraId="05FC72E7" w14:textId="01205918" w:rsidR="00E3105A" w:rsidRDefault="00E3105A" w:rsidP="00E3105A">
      <w:pPr>
        <w:jc w:val="both"/>
      </w:pPr>
      <w:r w:rsidRPr="00E3105A">
        <w:t> </w:t>
      </w:r>
      <w:proofErr w:type="spellStart"/>
      <w:r w:rsidRPr="00E3105A">
        <w:t>Sig</w:t>
      </w:r>
      <w:proofErr w:type="spellEnd"/>
      <w:r w:rsidRPr="00E3105A">
        <w:t> G. Bonello ,</w:t>
      </w:r>
      <w:r w:rsidRPr="00E3105A">
        <w:br/>
        <w:t> </w:t>
      </w:r>
      <w:proofErr w:type="spellStart"/>
      <w:r w:rsidRPr="00E3105A">
        <w:t>Sig</w:t>
      </w:r>
      <w:proofErr w:type="spellEnd"/>
      <w:r w:rsidRPr="00E3105A">
        <w:t> J. </w:t>
      </w:r>
      <w:proofErr w:type="spellStart"/>
      <w:r w:rsidRPr="00E3105A">
        <w:t>Makarczyk</w:t>
      </w:r>
      <w:proofErr w:type="spellEnd"/>
      <w:r w:rsidRPr="00E3105A">
        <w:t> ,</w:t>
      </w:r>
      <w:r w:rsidRPr="00E3105A">
        <w:br/>
        <w:t> </w:t>
      </w:r>
      <w:proofErr w:type="spellStart"/>
      <w:r w:rsidRPr="00E3105A">
        <w:t>Sig</w:t>
      </w:r>
      <w:proofErr w:type="spellEnd"/>
      <w:r w:rsidRPr="00E3105A">
        <w:t> R. Torri ,</w:t>
      </w:r>
      <w:r w:rsidRPr="00E3105A">
        <w:br/>
        <w:t> Sig.ra V. </w:t>
      </w:r>
      <w:proofErr w:type="spellStart"/>
      <w:r w:rsidRPr="00E3105A">
        <w:t>Strážnická</w:t>
      </w:r>
      <w:proofErr w:type="spellEnd"/>
      <w:r w:rsidRPr="00E3105A">
        <w:t> ,</w:t>
      </w:r>
      <w:r w:rsidRPr="00E3105A">
        <w:br/>
        <w:t> </w:t>
      </w:r>
      <w:proofErr w:type="spellStart"/>
      <w:r w:rsidRPr="00E3105A">
        <w:t>Sig</w:t>
      </w:r>
      <w:proofErr w:type="spellEnd"/>
      <w:r w:rsidRPr="00E3105A">
        <w:t> P. </w:t>
      </w:r>
      <w:proofErr w:type="spellStart"/>
      <w:r w:rsidRPr="00E3105A">
        <w:t>Lorenzen</w:t>
      </w:r>
      <w:proofErr w:type="spellEnd"/>
      <w:r w:rsidRPr="00E3105A">
        <w:t> ,</w:t>
      </w:r>
      <w:r w:rsidRPr="00E3105A">
        <w:br/>
        <w:t> </w:t>
      </w:r>
      <w:proofErr w:type="spellStart"/>
      <w:r w:rsidRPr="00E3105A">
        <w:t>Sig</w:t>
      </w:r>
      <w:proofErr w:type="spellEnd"/>
      <w:r w:rsidRPr="00E3105A">
        <w:t> M. </w:t>
      </w:r>
      <w:proofErr w:type="spellStart"/>
      <w:r w:rsidRPr="00E3105A">
        <w:t>Fischbach</w:t>
      </w:r>
      <w:proofErr w:type="spellEnd"/>
      <w:r w:rsidRPr="00E3105A">
        <w:t> ,</w:t>
      </w:r>
      <w:r w:rsidRPr="00E3105A">
        <w:br/>
        <w:t> </w:t>
      </w:r>
      <w:proofErr w:type="spellStart"/>
      <w:r w:rsidRPr="00E3105A">
        <w:t>Sig</w:t>
      </w:r>
      <w:proofErr w:type="spellEnd"/>
      <w:r w:rsidRPr="00E3105A">
        <w:t> V. </w:t>
      </w:r>
      <w:proofErr w:type="spellStart"/>
      <w:r w:rsidRPr="00E3105A">
        <w:t>Butkevych</w:t>
      </w:r>
      <w:proofErr w:type="spellEnd"/>
      <w:r w:rsidRPr="00E3105A">
        <w:t> ,</w:t>
      </w:r>
      <w:r w:rsidRPr="00E3105A">
        <w:br/>
        <w:t> </w:t>
      </w:r>
      <w:proofErr w:type="spellStart"/>
      <w:r w:rsidRPr="00E3105A">
        <w:t>Sig</w:t>
      </w:r>
      <w:proofErr w:type="spellEnd"/>
      <w:r w:rsidRPr="00E3105A">
        <w:t> J. </w:t>
      </w:r>
      <w:proofErr w:type="spellStart"/>
      <w:r w:rsidRPr="00E3105A">
        <w:t>Casadevall</w:t>
      </w:r>
      <w:proofErr w:type="spellEnd"/>
      <w:r w:rsidRPr="00E3105A">
        <w:t> ,</w:t>
      </w:r>
      <w:r w:rsidRPr="00E3105A">
        <w:br/>
        <w:t> Sig.ra Scuola superiore Greve ,</w:t>
      </w:r>
    </w:p>
    <w:p w14:paraId="0F807232" w14:textId="77777777" w:rsidR="00E3105A" w:rsidRDefault="00E3105A" w:rsidP="00E3105A">
      <w:pPr>
        <w:jc w:val="both"/>
      </w:pPr>
      <w:r w:rsidRPr="00E3105A">
        <w:t> </w:t>
      </w:r>
      <w:proofErr w:type="spellStart"/>
      <w:r w:rsidRPr="00E3105A">
        <w:t>Sig</w:t>
      </w:r>
      <w:proofErr w:type="spellEnd"/>
      <w:r w:rsidRPr="00E3105A">
        <w:t> AB Baka ,</w:t>
      </w:r>
    </w:p>
    <w:p w14:paraId="36FA31A9" w14:textId="2383B9ED" w:rsidR="00E3105A" w:rsidRPr="00E3105A" w:rsidRDefault="00E3105A" w:rsidP="00E3105A">
      <w:pPr>
        <w:jc w:val="both"/>
      </w:pPr>
      <w:r w:rsidRPr="00E3105A">
        <w:t> Sig.ra S. </w:t>
      </w:r>
      <w:proofErr w:type="spellStart"/>
      <w:r w:rsidRPr="00E3105A">
        <w:t>Botoucharova</w:t>
      </w:r>
      <w:proofErr w:type="spellEnd"/>
      <w:r w:rsidRPr="00E3105A">
        <w:t> ,</w:t>
      </w:r>
      <w:r w:rsidRPr="00E3105A">
        <w:br/>
        <w:t> </w:t>
      </w:r>
      <w:proofErr w:type="spellStart"/>
      <w:r w:rsidRPr="00E3105A">
        <w:t>Sig</w:t>
      </w:r>
      <w:proofErr w:type="spellEnd"/>
      <w:r w:rsidRPr="00E3105A">
        <w:t> M. </w:t>
      </w:r>
      <w:proofErr w:type="spellStart"/>
      <w:r w:rsidRPr="00E3105A">
        <w:t>Ugrekhelidze</w:t>
      </w:r>
      <w:proofErr w:type="spellEnd"/>
      <w:r w:rsidRPr="00E3105A">
        <w:t> ,</w:t>
      </w:r>
      <w:r w:rsidRPr="00E3105A">
        <w:br/>
        <w:t>e anche del signor M. de Salvia , </w:t>
      </w:r>
      <w:r w:rsidRPr="00E3105A">
        <w:rPr>
          <w:i/>
          <w:iCs/>
        </w:rPr>
        <w:t>cancelliere </w:t>
      </w:r>
      <w:r w:rsidRPr="00E3105A">
        <w:t>,</w:t>
      </w:r>
    </w:p>
    <w:p w14:paraId="374FE3AE" w14:textId="77777777" w:rsidR="00E3105A" w:rsidRPr="00E3105A" w:rsidRDefault="00E3105A" w:rsidP="00E3105A">
      <w:pPr>
        <w:jc w:val="both"/>
      </w:pPr>
      <w:r w:rsidRPr="00E3105A">
        <w:t>Dopo aver deliberato in camera di consiglio l'8 marzo, il 7 giugno e il 6 settembre 2000,</w:t>
      </w:r>
    </w:p>
    <w:p w14:paraId="0EDE6866" w14:textId="77777777" w:rsidR="00E3105A" w:rsidRPr="00E3105A" w:rsidRDefault="00E3105A" w:rsidP="00E3105A">
      <w:pPr>
        <w:jc w:val="both"/>
      </w:pPr>
      <w:r w:rsidRPr="00E3105A">
        <w:t>Pronuncia la seguente sentenza, adottata in data da ultimo indicata :</w:t>
      </w:r>
    </w:p>
    <w:p w14:paraId="0557D0E6" w14:textId="77777777" w:rsidR="00E3105A" w:rsidRPr="00E3105A" w:rsidRDefault="00E3105A" w:rsidP="00E3105A">
      <w:pPr>
        <w:jc w:val="both"/>
      </w:pPr>
      <w:r w:rsidRPr="00E3105A">
        <w:t>PROCEDURA</w:t>
      </w:r>
    </w:p>
    <w:p w14:paraId="14F5B1BE" w14:textId="77777777" w:rsidR="00E3105A" w:rsidRPr="00E3105A" w:rsidRDefault="00E3105A" w:rsidP="00E3105A">
      <w:pPr>
        <w:jc w:val="both"/>
      </w:pPr>
      <w:r w:rsidRPr="00E3105A">
        <w:t xml:space="preserve">1. Il caso è stato deferito alla Corte, conformemente alle disposizioni applicabili prima dell'entrata in vigore del Protocollo n. 11 alla Convenzione per la salvaguardia dei diritti dell'uomo e delle libertà fondamentali ("la Convenzione"), dalla Commissione europea dei diritti dell'uomo ("la Commissione") e dal sig. Mario </w:t>
      </w:r>
      <w:proofErr w:type="spellStart"/>
      <w:r w:rsidRPr="00E3105A">
        <w:t>Mennitto</w:t>
      </w:r>
      <w:proofErr w:type="spellEnd"/>
      <w:r w:rsidRPr="00E3105A">
        <w:t xml:space="preserve"> ("il ricorrente"), cittadino italiano, rispettivamente il 3 </w:t>
      </w:r>
      <w:r w:rsidRPr="00E3105A">
        <w:lastRenderedPageBreak/>
        <w:t>giugno e il 12 maggio 1999 (articolo 5 § 4 del Protocollo n. 11 e precedenti articoli 47 e 48 della Convenzione).   </w:t>
      </w:r>
    </w:p>
    <w:p w14:paraId="30B0839E" w14:textId="77777777" w:rsidR="00E3105A" w:rsidRPr="00E3105A" w:rsidRDefault="00E3105A" w:rsidP="00E3105A">
      <w:pPr>
        <w:jc w:val="both"/>
      </w:pPr>
      <w:r w:rsidRPr="00E3105A">
        <w:t>2. Il caso trae origine da un ricorso (n. </w:t>
      </w:r>
      <w:hyperlink r:id="rId7" w:anchor="{%22appno%22:[%2233804/96%22]}" w:tgtFrame="_blank" w:history="1">
        <w:r w:rsidRPr="00E3105A">
          <w:rPr>
            <w:rStyle w:val="Collegamentoipertestuale"/>
          </w:rPr>
          <w:t>33804/96</w:t>
        </w:r>
      </w:hyperlink>
      <w:r w:rsidRPr="00E3105A">
        <w:t> ) contro la Repubblica italiana depositato presso la Commissione dal ricorrente ai sensi dell'ex articolo 25 della Convenzione il 2 gennaio 1996. Il ricorrente sosteneva che il suo caso non era stato esaminato entro un termine ragionevole, come richiesto dall'articolo 6 § 1 della Convenzione.   </w:t>
      </w:r>
    </w:p>
    <w:p w14:paraId="7EB603B6" w14:textId="77777777" w:rsidR="00E3105A" w:rsidRPr="00E3105A" w:rsidRDefault="00E3105A" w:rsidP="00E3105A">
      <w:pPr>
        <w:jc w:val="both"/>
      </w:pPr>
      <w:r w:rsidRPr="00E3105A">
        <w:t>La Commissione ha dichiarato il ricorso ricevibile il 10 settembre 1998. Nella sua relazione del 4 marzo 1999 (ex articolo 31 della Convenzione) [ </w:t>
      </w:r>
      <w:r w:rsidRPr="00E3105A">
        <w:rPr>
          <w:i/>
          <w:iCs/>
        </w:rPr>
        <w:t>Nota della Cancelleria </w:t>
      </w:r>
      <w:r w:rsidRPr="00E3105A">
        <w:t>. La relazione è disponibile presso la Cancelleria.], ha espresso il parere che l'articolo 6 non era applicabile al procedimento in questione e che pertanto non vi era stata violazione di tale disposizione (tredici voti contro dieci).</w:t>
      </w:r>
    </w:p>
    <w:p w14:paraId="27B9499D" w14:textId="77777777" w:rsidR="00E3105A" w:rsidRPr="00E3105A" w:rsidRDefault="00E3105A" w:rsidP="00E3105A">
      <w:pPr>
        <w:jc w:val="both"/>
      </w:pPr>
      <w:r w:rsidRPr="00E3105A">
        <w:t>3. Dinanzi alla Corte, il ricorrente era rappresentato dal suo avvocato; il Governo italiano ("il Governo") era rappresentato dal suo agente, il signor U. Leanza, e dal suo co-agente, il signor V. Esposito.    </w:t>
      </w:r>
    </w:p>
    <w:p w14:paraId="0A49E67A" w14:textId="77777777" w:rsidR="00E3105A" w:rsidRPr="00E3105A" w:rsidRDefault="00E3105A" w:rsidP="00E3105A">
      <w:pPr>
        <w:jc w:val="both"/>
      </w:pPr>
      <w:r w:rsidRPr="00E3105A">
        <w:t>4. Il 20 settembre 1999, un collegio della Grande Camera ha deciso che la causa dovesse essere decisa dalla Grande Camera (articolo 100 § 1 del Regolamento della Corte). Il signor B. Conforti, giudice eletto per l'Italia, che aveva preso parte all'esame del caso da parte della Commissione, si è ritirato dalla seduta della Grande Camera (articolo 28 del Regolamento). Il Governo ha pertanto nominato il signor L. Ferrari Bravo, giudice eletto per San Marino, al suo posto (articolo 27 § 2 della Convenzione e articolo 29 § 1 del Regolamento).  </w:t>
      </w:r>
    </w:p>
    <w:p w14:paraId="501B9303" w14:textId="77777777" w:rsidR="00E3105A" w:rsidRPr="00E3105A" w:rsidRDefault="00E3105A" w:rsidP="00E3105A">
      <w:pPr>
        <w:jc w:val="both"/>
      </w:pPr>
      <w:r w:rsidRPr="00E3105A">
        <w:t>5. Il ricorrente e il Governo hanno depositato ciascuno una memoria.  </w:t>
      </w:r>
    </w:p>
    <w:p w14:paraId="4CE3B8E0" w14:textId="77777777" w:rsidR="00E3105A" w:rsidRPr="00E3105A" w:rsidRDefault="00E3105A" w:rsidP="00E3105A">
      <w:pPr>
        <w:jc w:val="both"/>
      </w:pPr>
      <w:r w:rsidRPr="00E3105A">
        <w:t>6. L'8 marzo 2000 si è tenuta un'udienza pubblica presso il Palazzo dei diritti dell'uomo a Strasburgo.  </w:t>
      </w:r>
    </w:p>
    <w:p w14:paraId="57383A99" w14:textId="77777777" w:rsidR="00E3105A" w:rsidRPr="00E3105A" w:rsidRDefault="00E3105A" w:rsidP="00E3105A">
      <w:pPr>
        <w:jc w:val="both"/>
      </w:pPr>
      <w:r w:rsidRPr="00E3105A">
        <w:t> </w:t>
      </w:r>
    </w:p>
    <w:p w14:paraId="232CD587" w14:textId="77777777" w:rsidR="00E3105A" w:rsidRPr="00E3105A" w:rsidRDefault="00E3105A" w:rsidP="00E3105A">
      <w:pPr>
        <w:jc w:val="both"/>
      </w:pPr>
      <w:r w:rsidRPr="00E3105A">
        <w:t>Sono comparsi davanti alla Corte:</w:t>
      </w:r>
    </w:p>
    <w:p w14:paraId="0A085CA3" w14:textId="77777777" w:rsidR="00E3105A" w:rsidRPr="00E3105A" w:rsidRDefault="00E3105A" w:rsidP="00E3105A">
      <w:r w:rsidRPr="00E3105A">
        <w:t>(a) </w:t>
      </w:r>
      <w:r w:rsidRPr="00E3105A">
        <w:rPr>
          <w:i/>
          <w:iCs/>
        </w:rPr>
        <w:t>per il Governo </w:t>
      </w:r>
      <w:r w:rsidRPr="00E3105A">
        <w:t>Sig.  </w:t>
      </w:r>
      <w:r w:rsidRPr="00E3105A">
        <w:br/>
        <w:t> V. Esposito , </w:t>
      </w:r>
      <w:r w:rsidRPr="00E3105A">
        <w:rPr>
          <w:i/>
          <w:iCs/>
        </w:rPr>
        <w:t>Co-agente </w:t>
      </w:r>
      <w:r w:rsidRPr="00E3105A">
        <w:t>;</w:t>
      </w:r>
    </w:p>
    <w:p w14:paraId="7DD67C5A" w14:textId="77777777" w:rsidR="00E3105A" w:rsidRPr="00E3105A" w:rsidRDefault="00E3105A" w:rsidP="00E3105A">
      <w:r w:rsidRPr="00E3105A">
        <w:t>(b) </w:t>
      </w:r>
      <w:r w:rsidRPr="00E3105A">
        <w:rPr>
          <w:i/>
          <w:iCs/>
        </w:rPr>
        <w:t>per il ricorrente </w:t>
      </w:r>
      <w:r w:rsidRPr="00E3105A">
        <w:t>Sig.  </w:t>
      </w:r>
      <w:r w:rsidRPr="00E3105A">
        <w:br/>
        <w:t> G. Romano, of the Benevento Bar, </w:t>
      </w:r>
      <w:r w:rsidRPr="00E3105A">
        <w:rPr>
          <w:i/>
          <w:iCs/>
        </w:rPr>
        <w:t>Avvocato </w:t>
      </w:r>
      <w:r w:rsidRPr="00E3105A">
        <w:t>,</w:t>
      </w:r>
      <w:r w:rsidRPr="00E3105A">
        <w:br/>
        <w:t>signor DA Parrotta , </w:t>
      </w:r>
      <w:r w:rsidRPr="00E3105A">
        <w:rPr>
          <w:i/>
          <w:iCs/>
        </w:rPr>
        <w:t>Consigliere </w:t>
      </w:r>
      <w:r w:rsidRPr="00E3105A">
        <w:t>.</w:t>
      </w:r>
    </w:p>
    <w:p w14:paraId="286D902B" w14:textId="77777777" w:rsidR="00E3105A" w:rsidRPr="00E3105A" w:rsidRDefault="00E3105A" w:rsidP="00E3105A">
      <w:pPr>
        <w:jc w:val="both"/>
        <w:rPr>
          <w:u w:val="single"/>
        </w:rPr>
      </w:pPr>
      <w:r w:rsidRPr="00E3105A">
        <w:t> </w:t>
      </w:r>
    </w:p>
    <w:p w14:paraId="0E4084AF" w14:textId="77777777" w:rsidR="00E3105A" w:rsidRPr="00E3105A" w:rsidRDefault="00E3105A" w:rsidP="00E3105A">
      <w:pPr>
        <w:jc w:val="both"/>
      </w:pPr>
      <w:r w:rsidRPr="00E3105A">
        <w:rPr>
          <w:u w:val="single"/>
        </w:rPr>
        <w:t>La Corte ha</w:t>
      </w:r>
      <w:r w:rsidRPr="00E3105A">
        <w:t xml:space="preserve"> ascoltato gli interventi dei signori Romano ed Esposito e le loro risposte alle domande di due giudici.</w:t>
      </w:r>
    </w:p>
    <w:p w14:paraId="5C2EF6DA" w14:textId="77777777" w:rsidR="00E3105A" w:rsidRPr="00E3105A" w:rsidRDefault="00E3105A" w:rsidP="00E3105A">
      <w:pPr>
        <w:jc w:val="both"/>
      </w:pPr>
      <w:r w:rsidRPr="00E3105A">
        <w:t> </w:t>
      </w:r>
    </w:p>
    <w:p w14:paraId="10C0FBC4" w14:textId="77777777" w:rsidR="00E3105A" w:rsidRPr="00E3105A" w:rsidRDefault="00E3105A" w:rsidP="00E3105A">
      <w:pPr>
        <w:jc w:val="both"/>
      </w:pPr>
      <w:r w:rsidRPr="00E3105A">
        <w:t>I FATTI</w:t>
      </w:r>
    </w:p>
    <w:p w14:paraId="56873743" w14:textId="77777777" w:rsidR="00E3105A" w:rsidRPr="00E3105A" w:rsidRDefault="00E3105A" w:rsidP="00E3105A">
      <w:pPr>
        <w:jc w:val="both"/>
      </w:pPr>
      <w:r w:rsidRPr="00E3105A">
        <w:t>I. LE CIRCOSTANZE DEL CASO  </w:t>
      </w:r>
    </w:p>
    <w:p w14:paraId="1C5FF3DD" w14:textId="77777777" w:rsidR="00E3105A" w:rsidRPr="00E3105A" w:rsidRDefault="00E3105A" w:rsidP="00E3105A">
      <w:pPr>
        <w:jc w:val="both"/>
      </w:pPr>
      <w:r w:rsidRPr="00E3105A">
        <w:lastRenderedPageBreak/>
        <w:t>7. Il 15 marzo 1984, ai sensi della legge n. </w:t>
      </w:r>
      <w:hyperlink r:id="rId8" w:anchor="{%22appno%22:[%22833/78%22]}" w:tgtFrame="_blank" w:history="1">
        <w:r w:rsidRPr="00E3105A">
          <w:rPr>
            <w:rStyle w:val="Collegamentoipertestuale"/>
          </w:rPr>
          <w:t>833/78</w:t>
        </w:r>
      </w:hyperlink>
      <w:r w:rsidRPr="00E3105A">
        <w:t> , che istituiva il Servizio sanitario nazionale e imponeva alle amministrazioni regionali, </w:t>
      </w:r>
      <w:r w:rsidRPr="00E3105A">
        <w:rPr>
          <w:i/>
          <w:iCs/>
        </w:rPr>
        <w:t>tra l'altro </w:t>
      </w:r>
      <w:r w:rsidRPr="00E3105A">
        <w:t>, di adottare misure idonee per la prevenzione, lo screening e il trattamento delle disabilità, la Giunta regionale della Campania ha emanato la legge regionale n. 11 ("la legge regionale"). L'articolo 26 della legge regionale autorizzava le </w:t>
      </w:r>
      <w:r w:rsidRPr="00E3105A">
        <w:rPr>
          <w:i/>
          <w:iCs/>
        </w:rPr>
        <w:t>Unità Sanitarie Locali </w:t>
      </w:r>
      <w:r w:rsidRPr="00E3105A">
        <w:t>(USL) a erogare assegni per i primi tre anni dalla sua entrata in vigore alle famiglie che assistevano i propri familiari disabili direttamente presso il proprio domicilio.  </w:t>
      </w:r>
    </w:p>
    <w:p w14:paraId="281B15B1" w14:textId="77777777" w:rsidR="00E3105A" w:rsidRPr="00E3105A" w:rsidRDefault="00E3105A" w:rsidP="00E3105A">
      <w:pPr>
        <w:jc w:val="both"/>
      </w:pPr>
      <w:r w:rsidRPr="00E3105A">
        <w:t>8. Il 5 dicembre 1989 il </w:t>
      </w:r>
      <w:r w:rsidRPr="00E3105A">
        <w:rPr>
          <w:i/>
          <w:iCs/>
        </w:rPr>
        <w:t>Comitato di gestione </w:t>
      </w:r>
      <w:r w:rsidRPr="00E3105A">
        <w:t>dell'USL n. 5 di Benevento, in applicazione dell'articolo 26 della legge regionale, stabilì che 134 persone, tra cui il figlio del ricorrente, soddisfacevano i requisiti che davano diritto al pagamento dell'assegno per i loro familiari. La decisione autorizzò solo la distribuzione ai beneficiari aventi diritto, in base alla data di riconoscimento dell'invalidità al 100%, della somma di 35.328.240 lire italiane (LIT) per l'anno 1985; il ricorrente percepì 84.720 lire italiane per i mesi di novembre e dicembre 1985.   </w:t>
      </w:r>
    </w:p>
    <w:p w14:paraId="321BE7D1" w14:textId="77777777" w:rsidR="00E3105A" w:rsidRPr="00E3105A" w:rsidRDefault="00E3105A" w:rsidP="00E3105A">
      <w:pPr>
        <w:jc w:val="both"/>
      </w:pPr>
      <w:r w:rsidRPr="00E3105A">
        <w:t>9. Con avviso di pagamento notificato il 12 giugno 1993, il ricorrente chiedeva all'USL n. 5 di Benevento la concessione dell'assegno, evidenziando che all'iscrizione del figlio nell'elenco dei soggetti in possesso dei requisiti richiesti dalla legge regionale per il diritto all'assegno non era seguito il pagamento previsto dall'articolo 26 della legge regionale.  </w:t>
      </w:r>
    </w:p>
    <w:p w14:paraId="7398FF76" w14:textId="77777777" w:rsidR="00E3105A" w:rsidRPr="00E3105A" w:rsidRDefault="00E3105A" w:rsidP="00E3105A">
      <w:pPr>
        <w:jc w:val="both"/>
      </w:pPr>
      <w:r w:rsidRPr="00E3105A">
        <w:t>10. Non avendo l'USL risposto, il ricorrente, il 2 agosto 1993, ha proposto ricorso contro di essa presso il Tribunale Amministrativo Regionale della Campania ("TAR"). Invocando l'articolo 26 della legge regionale, egli ha chiesto che fosse dichiarata l'illegittimità della mancata risposta dell'USL, che equivaleva a un diniego, e che gli spettava l'indennità in questione per gli anni 1985, 1986 e 1987.  </w:t>
      </w:r>
    </w:p>
    <w:p w14:paraId="4F8D3718" w14:textId="77777777" w:rsidR="00E3105A" w:rsidRPr="00E3105A" w:rsidRDefault="00E3105A" w:rsidP="00E3105A">
      <w:pPr>
        <w:jc w:val="both"/>
      </w:pPr>
      <w:r w:rsidRPr="00E3105A">
        <w:t>11. Il 13 agosto 1993 il ricorrente chiese che fosse fissata una data per l'udienza. Il 27 luglio 1995 presentò una richiesta urgente di fissazione di una data per l'udienza, osservando, </w:t>
      </w:r>
      <w:r w:rsidRPr="00E3105A">
        <w:rPr>
          <w:i/>
          <w:iCs/>
        </w:rPr>
        <w:t>tra l'altro </w:t>
      </w:r>
      <w:r w:rsidRPr="00E3105A">
        <w:t>, che le USL sarebbero state ristrutturate il 31 dicembre 1995 e che la legislazione italiana non prevedeva alcuna continuità finanziaria tra i vecchi e i nuovi enti. Chiedeva pertanto che il suo caso fosse archiviato poiché dopo la fine del 1995 non avrebbe più potuto ottenere l'indennità richiesta.   </w:t>
      </w:r>
    </w:p>
    <w:p w14:paraId="77877CD7" w14:textId="77777777" w:rsidR="00E3105A" w:rsidRPr="00E3105A" w:rsidRDefault="00E3105A" w:rsidP="00E3105A">
      <w:pPr>
        <w:jc w:val="both"/>
      </w:pPr>
      <w:r w:rsidRPr="00E3105A">
        <w:t>Con atto depositato in data non precisata, l'USL n. 5 ha sostenuto, tra l'altro, di non essere legittimata a difendersi ( </w:t>
      </w:r>
      <w:r w:rsidRPr="00E3105A">
        <w:rPr>
          <w:i/>
          <w:iCs/>
        </w:rPr>
        <w:t>legittimità passiva </w:t>
      </w:r>
      <w:r w:rsidRPr="00E3105A">
        <w:t>), in quanto solo la Regione era tenuta a mettere a disposizione le risorse finanziarie necessarie al pagamento dell'indennità. Ha sostenuto che il ricorrente, che aveva percepito l'indennità per l'anno 1985, nei limiti degli stanziamenti di bilancio, avrebbe dovuto impugnare la decisione del 5 dicembre 1989, ma non avendolo fatto, questa era divenuta definitiva e l'importo erogato non poteva più essere messo in discussione.</w:t>
      </w:r>
    </w:p>
    <w:p w14:paraId="23CD3E3E" w14:textId="77777777" w:rsidR="00E3105A" w:rsidRPr="00E3105A" w:rsidRDefault="00E3105A" w:rsidP="00E3105A">
      <w:pPr>
        <w:jc w:val="both"/>
      </w:pPr>
      <w:r w:rsidRPr="00E3105A">
        <w:t xml:space="preserve">12. La causa fu esaminata il 14 gennaio 1997. Con sentenza del 14 gennaio e del 4 febbraio 1997, il cui testo fu depositato in cancelleria il 3 marzo 1997, il TAR osservò, in primo luogo, che il ricorrente non era tenuto a impugnare la decisione controversa, in quanto non conteneva un diniego di pagamento dell'intero importo dell'indennità. Al contrario, vi erano state due valide interpretazioni alternative del comportamento dell'USL. Ad esempio, il ricorrente avrebbe potuto ritenere che l'USL stesse effettuando un pagamento a titolo di acconto, riservando la determinazione definitiva dell'importo da pagare a un successivo accertamento, oppure che avesse deciso di pagare una </w:t>
      </w:r>
      <w:r w:rsidRPr="00E3105A">
        <w:lastRenderedPageBreak/>
        <w:t>somma maggiore con una prima rata a cui ne sarebbero seguite altre. Nel merito, il TAR ha ritenuto che, una volta verificata la sussistenza dei requisiti di legge per il diritto all'indennità, quest'ultima dovesse essere erogata nella misura prevista dall'articolo 26. L'autorità amministrativa non aveva quindi alcun potere discrezionale e il suo ruolo avrebbe dovuto limitarsi a un calcolo puramente aritmetico. Il ricorrente aveva regolarmente dimostrato di essere padre di un invalido civile al 100%, residente presso la sua famiglia; inoltre, il cognome del figlio era il 95° nell'elenco incluso nella decisione del 5 dicembre 1989. L'USL avrebbe pertanto dovuto pronunciarsi sulla sua domanda. Tuttavia, come aveva affermato la Corte di Cassazione in sede di controversia di giurisdizione (sentenza n. 8297 dell'11 ottobre 1994), il ricorrente non poteva vantare un "diritto </w:t>
      </w:r>
      <w:r w:rsidRPr="00E3105A">
        <w:rPr>
          <w:i/>
          <w:iCs/>
        </w:rPr>
        <w:t>soggettivo perfetto " </w:t>
      </w:r>
      <w:r w:rsidRPr="00E3105A">
        <w:t>, ma solo un "interesse legittimo" </w:t>
      </w:r>
      <w:r w:rsidRPr="00E3105A">
        <w:rPr>
          <w:i/>
          <w:iCs/>
        </w:rPr>
        <w:t>, </w:t>
      </w:r>
      <w:r w:rsidRPr="00E3105A">
        <w:t>vale a dire una posizione individuale indirettamente tutelata nella misura compatibile con l'interesse pubblico, che sarebbe perdurato fino al momento in cui l'autorità amministrativa avesse adottato un provvedimento di concessione dell'indennità e ne avesse determinato l'importo complessivo. Il TAR ha pertanto rigettato il ricorso del ricorrente nella parte in cui riguardava il riconoscimento del suo diritto all'indennità in questione.   </w:t>
      </w:r>
    </w:p>
    <w:p w14:paraId="13D98700" w14:textId="77777777" w:rsidR="00E3105A" w:rsidRPr="00E3105A" w:rsidRDefault="00E3105A" w:rsidP="00E3105A">
      <w:pPr>
        <w:jc w:val="both"/>
      </w:pPr>
      <w:r w:rsidRPr="00E3105A">
        <w:t>13. Il 20 giugno e il 5 luglio 1997, rispettivamente, l'USL n. 5 e la Giunta Regionale della Campania presentarono ricorso al </w:t>
      </w:r>
      <w:r w:rsidRPr="00E3105A">
        <w:rPr>
          <w:i/>
          <w:iCs/>
        </w:rPr>
        <w:t>Consiglio di Stato </w:t>
      </w:r>
      <w:r w:rsidRPr="00E3105A">
        <w:t>. Con ordinanza del 30 agosto 1997, il </w:t>
      </w:r>
      <w:r w:rsidRPr="00E3105A">
        <w:rPr>
          <w:i/>
          <w:iCs/>
        </w:rPr>
        <w:t>Consiglio di Stato </w:t>
      </w:r>
      <w:r w:rsidRPr="00E3105A">
        <w:t>sospese l'esecuzione della sentenza di primo grado.  </w:t>
      </w:r>
    </w:p>
    <w:p w14:paraId="1B1CC080" w14:textId="77777777" w:rsidR="00E3105A" w:rsidRPr="00E3105A" w:rsidRDefault="00E3105A" w:rsidP="00E3105A">
      <w:pPr>
        <w:jc w:val="both"/>
      </w:pPr>
      <w:r w:rsidRPr="00E3105A">
        <w:t>14. Il 14 novembre 1997 il Direttore Generale dell'ASL ( </w:t>
      </w:r>
      <w:r w:rsidRPr="00E3105A">
        <w:rPr>
          <w:i/>
          <w:iCs/>
        </w:rPr>
        <w:t>Azienda Sanitaria Locale </w:t>
      </w:r>
      <w:r w:rsidRPr="00E3105A">
        <w:t>), l'ente che aveva sostituito l'USL, approvò il testo di una transazione amichevole raggiunta il 7 novembre tra l'autorità amministrativa e l'attore, tra gli altri. Rilevato che in numerosi casi analoghi i tribunali competenti avevano quasi sempre riconosciuto il diritto degli attori all'indennità per gli anni 1985-87, rilevato inoltre che la transazione era stata sottoscritta dopo aver verificato il rispetto delle condizioni richieste dalla legge regionale e tenuto conto del fatto che la transazione stava per porre fine a una causa di grande rilievo che con ogni probabilità sarebbe andata a sfavore dell'autorità amministrativa, dato l'orientamento assunto dai tribunali sulla questione, così da far risparmiare miliardi di lire alle casse pubbliche, il Direttore Generale ordinò il pagamento dell'indennità. Con sentenza del 25 novembre 1997, il cui testo è stato depositato in cancelleria il 27 dicembre 1997, il </w:t>
      </w:r>
      <w:r w:rsidRPr="00E3105A">
        <w:rPr>
          <w:i/>
          <w:iCs/>
        </w:rPr>
        <w:t>Consiglio di Stato </w:t>
      </w:r>
      <w:r w:rsidRPr="00E3105A">
        <w:t>ha preso atto della transazione amichevole tra le parti e ha cancellato la causa dal ruolo.  </w:t>
      </w:r>
    </w:p>
    <w:p w14:paraId="3911BC80" w14:textId="77777777" w:rsidR="00E3105A" w:rsidRPr="00E3105A" w:rsidRDefault="00E3105A" w:rsidP="00E3105A">
      <w:pPr>
        <w:jc w:val="both"/>
      </w:pPr>
      <w:r w:rsidRPr="00E3105A">
        <w:t>II. DIRITTO E PRATICA INTERNA RILEVANTI  </w:t>
      </w:r>
    </w:p>
    <w:p w14:paraId="787957B5" w14:textId="77777777" w:rsidR="00E3105A" w:rsidRPr="00E3105A" w:rsidRDefault="00E3105A" w:rsidP="00E3105A">
      <w:pPr>
        <w:jc w:val="both"/>
      </w:pPr>
      <w:r w:rsidRPr="00E3105A">
        <w:t>15. L'assegno per i familiari degli invalidi civili è disciplinato dall'articolo 26 della legge regionale 15 marzo 1984, n. 11, le cui parti rilevanti dispongono:  </w:t>
      </w:r>
    </w:p>
    <w:p w14:paraId="6226B975" w14:textId="77777777" w:rsidR="00E3105A" w:rsidRPr="00E3105A" w:rsidRDefault="00E3105A" w:rsidP="00E3105A">
      <w:pPr>
        <w:jc w:val="both"/>
      </w:pPr>
      <w:r w:rsidRPr="00E3105A">
        <w:t>“Per tre anni dall’entrata in vigore della presente legge, le aziende sanitarie pubbliche locali sono autorizzate a erogare un assegno alle famiglie che si impegnano a fornire assistenza diretta a persone affette da disabilità psichica o fisica, incapaci di provvedere autonomamente ai propri bisogni primari e bisognose di assistenza continua.</w:t>
      </w:r>
    </w:p>
    <w:p w14:paraId="02A59D57" w14:textId="77777777" w:rsidR="00E3105A" w:rsidRPr="00E3105A" w:rsidRDefault="00E3105A" w:rsidP="00E3105A">
      <w:pPr>
        <w:jc w:val="both"/>
      </w:pPr>
      <w:r w:rsidRPr="00E3105A">
        <w:t>L'indennità è concessa per il perseguimento dei seguenti obiettivi:</w:t>
      </w:r>
    </w:p>
    <w:p w14:paraId="2691D24C" w14:textId="77777777" w:rsidR="00E3105A" w:rsidRPr="00E3105A" w:rsidRDefault="00E3105A" w:rsidP="00E3105A">
      <w:pPr>
        <w:jc w:val="both"/>
      </w:pPr>
      <w:r w:rsidRPr="00E3105A">
        <w:lastRenderedPageBreak/>
        <w:t>(a) il ritorno alle proprie famiglie delle persone disabili precedentemente assistite a tempo pieno in istituti;  </w:t>
      </w:r>
    </w:p>
    <w:p w14:paraId="433D7039" w14:textId="77777777" w:rsidR="00E3105A" w:rsidRPr="00E3105A" w:rsidRDefault="00E3105A" w:rsidP="00E3105A">
      <w:pPr>
        <w:jc w:val="both"/>
      </w:pPr>
      <w:r w:rsidRPr="00E3105A">
        <w:t>(b) incoraggiare la pratica della cura dei bambini disabili all'interno della famiglia ...;  </w:t>
      </w:r>
    </w:p>
    <w:p w14:paraId="2707178C" w14:textId="77777777" w:rsidR="00E3105A" w:rsidRPr="00E3105A" w:rsidRDefault="00E3105A" w:rsidP="00E3105A">
      <w:pPr>
        <w:jc w:val="both"/>
      </w:pPr>
      <w:r w:rsidRPr="00E3105A">
        <w:t>(c) socializzare la persona disabile e migliorare i suoi rapporti con chi la circonda;  </w:t>
      </w:r>
    </w:p>
    <w:p w14:paraId="561F0B5B" w14:textId="77777777" w:rsidR="00E3105A" w:rsidRPr="00E3105A" w:rsidRDefault="00E3105A" w:rsidP="00E3105A">
      <w:pPr>
        <w:jc w:val="both"/>
      </w:pPr>
      <w:r w:rsidRPr="00E3105A">
        <w:t>(d) migliorare la vita delle famiglie delle persone disabili;  </w:t>
      </w:r>
    </w:p>
    <w:p w14:paraId="0003966D" w14:textId="77777777" w:rsidR="00E3105A" w:rsidRPr="00E3105A" w:rsidRDefault="00E3105A" w:rsidP="00E3105A">
      <w:pPr>
        <w:jc w:val="both"/>
      </w:pPr>
      <w:r w:rsidRPr="00E3105A">
        <w:t>(e) creare un ambiente favorevole alla vita della persona disabile;  </w:t>
      </w:r>
    </w:p>
    <w:p w14:paraId="24AE8A72" w14:textId="77777777" w:rsidR="00E3105A" w:rsidRPr="00E3105A" w:rsidRDefault="00E3105A" w:rsidP="00E3105A">
      <w:pPr>
        <w:jc w:val="both"/>
      </w:pPr>
      <w:r w:rsidRPr="00E3105A">
        <w:t>...</w:t>
      </w:r>
    </w:p>
    <w:p w14:paraId="57020FC1" w14:textId="77777777" w:rsidR="00E3105A" w:rsidRPr="00E3105A" w:rsidRDefault="00E3105A" w:rsidP="00E3105A">
      <w:pPr>
        <w:jc w:val="both"/>
      </w:pPr>
      <w:r w:rsidRPr="00E3105A">
        <w:t>L'importo dell'indennità per l'assistenza ai familiari è pari al 25% della tariffa giornaliera per l'assistenza alle persone ricoverate a tempo pieno."</w:t>
      </w:r>
    </w:p>
    <w:p w14:paraId="05234CB3" w14:textId="77777777" w:rsidR="00E3105A" w:rsidRPr="00E3105A" w:rsidRDefault="00E3105A" w:rsidP="00E3105A">
      <w:pPr>
        <w:jc w:val="both"/>
      </w:pPr>
      <w:r w:rsidRPr="00E3105A">
        <w:t>16. La Corte di Cassazione ha pronunciato numerose pronunce in materia di assegno di cura in relazione a ricorsi in materia di diritto riguardanti controversie di giurisdizione.  </w:t>
      </w:r>
    </w:p>
    <w:p w14:paraId="36422846" w14:textId="77777777" w:rsidR="00E3105A" w:rsidRPr="00E3105A" w:rsidRDefault="00E3105A" w:rsidP="00E3105A">
      <w:pPr>
        <w:jc w:val="both"/>
      </w:pPr>
      <w:r w:rsidRPr="00E3105A">
        <w:t>17. Ad esempio, nella sentenza n. 5386 del 12 maggio 1993, ha ritenuto che, laddove la giurisdizione del giudice ordinario fosse stata riconosciuta con sentenza passata in giudicato, le controversie relative all'articolo 26 della legge regionale rientravano nella categoria delle controversie in materia di assistenza obbligatoria, che rientravano nella competenza del tribunale del lavoro.  </w:t>
      </w:r>
    </w:p>
    <w:p w14:paraId="230FD694" w14:textId="77777777" w:rsidR="00E3105A" w:rsidRPr="00E3105A" w:rsidRDefault="00E3105A" w:rsidP="00E3105A">
      <w:pPr>
        <w:jc w:val="both"/>
      </w:pPr>
      <w:r w:rsidRPr="00E3105A">
        <w:t>Con sentenza n. 8297 dell'11 ottobre 1994 ha ritenuto che le controversie relative al diritto all'indennità fossero di competenza del giudice amministrativo, stabilendo che il beneficiario non poteva vantare un diritto soggettivo ma solo un interesse legittimo, vale a dire una posizione individuale indirettamente tutelata nei limiti dell'interesse pubblico, e che tale ipotesi sarebbe rimasta in essere fino a quando l'autorità amministrativa non avesse adottato un provvedimento di concessione dell'indennità e ne avesse determinato l'importo complessivo.</w:t>
      </w:r>
    </w:p>
    <w:p w14:paraId="31A7BABE" w14:textId="77777777" w:rsidR="00E3105A" w:rsidRPr="00E3105A" w:rsidRDefault="00E3105A" w:rsidP="00E3105A">
      <w:pPr>
        <w:jc w:val="both"/>
      </w:pPr>
      <w:r w:rsidRPr="00E3105A">
        <w:t>Gli appellanti in questi due casi si trovavano in una situazione simile a quella del signor </w:t>
      </w:r>
      <w:proofErr w:type="spellStart"/>
      <w:r w:rsidRPr="00E3105A">
        <w:t>Mennitto</w:t>
      </w:r>
      <w:proofErr w:type="spellEnd"/>
      <w:r w:rsidRPr="00E3105A">
        <w:t>, ma avevano presentato ricorso ai tribunali ordinari. </w:t>
      </w:r>
    </w:p>
    <w:p w14:paraId="0AB3CFBC" w14:textId="77777777" w:rsidR="00E3105A" w:rsidRPr="00E3105A" w:rsidRDefault="00E3105A" w:rsidP="00E3105A">
      <w:pPr>
        <w:jc w:val="both"/>
      </w:pPr>
      <w:r w:rsidRPr="00E3105A">
        <w:t>18. Il Tribunale Amministrativo Regionale della Campania ha accolto in numerose occasioni le richieste di altre persone che si prendono cura di parenti disabili.  </w:t>
      </w:r>
    </w:p>
    <w:p w14:paraId="2F35286E" w14:textId="77777777" w:rsidR="00E3105A" w:rsidRPr="00E3105A" w:rsidRDefault="00E3105A" w:rsidP="00E3105A">
      <w:pPr>
        <w:jc w:val="both"/>
      </w:pPr>
      <w:r w:rsidRPr="00E3105A">
        <w:t>Nella sentenza n. 251, depositata in cancelleria il 16 maggio 1995, ha stabilito:</w:t>
      </w:r>
    </w:p>
    <w:p w14:paraId="255CC23A" w14:textId="77777777" w:rsidR="00E3105A" w:rsidRPr="00E3105A" w:rsidRDefault="00E3105A" w:rsidP="00E3105A">
      <w:pPr>
        <w:jc w:val="both"/>
      </w:pPr>
      <w:r w:rsidRPr="00E3105A">
        <w:t>«[La Corte] dichiara che il ricorrente ha diritto a percepire l'indennità prevista dall'articolo 26 della [legge regionale] ...;</w:t>
      </w:r>
    </w:p>
    <w:p w14:paraId="729402BC" w14:textId="77777777" w:rsidR="00E3105A" w:rsidRPr="00E3105A" w:rsidRDefault="00E3105A" w:rsidP="00E3105A">
      <w:pPr>
        <w:jc w:val="both"/>
      </w:pPr>
      <w:r w:rsidRPr="00E3105A">
        <w:t>Ordina all'autorità convenuta di pagare la somma in questione...”</w:t>
      </w:r>
    </w:p>
    <w:p w14:paraId="3339D411" w14:textId="77777777" w:rsidR="00E3105A" w:rsidRPr="00E3105A" w:rsidRDefault="00E3105A" w:rsidP="00E3105A">
      <w:pPr>
        <w:jc w:val="both"/>
      </w:pPr>
      <w:r w:rsidRPr="00E3105A">
        <w:t>In tale decisione e in altre (quali la sentenza n. 310 del 4 luglio 1995 e le sentenze n. 323 e 324 del 6 febbraio e dell'11 giugno 1996) la Corte d'Appello ha motivato la propria decisione come segue:</w:t>
      </w:r>
    </w:p>
    <w:p w14:paraId="4C896E0F" w14:textId="77777777" w:rsidR="00E3105A" w:rsidRPr="00E3105A" w:rsidRDefault="00E3105A" w:rsidP="00E3105A">
      <w:pPr>
        <w:jc w:val="both"/>
      </w:pPr>
      <w:r w:rsidRPr="00E3105A">
        <w:t xml:space="preserve">“[L'articolo 26 della legge regionale] subordina l'adozione del provvedimento di concessione dell'indennità, tra gli altri requisiti, alla verifica del possesso da parte dei beneficiari dei requisiti di </w:t>
      </w:r>
      <w:r w:rsidRPr="00E3105A">
        <w:lastRenderedPageBreak/>
        <w:t>ammissibilità. Una volta effettuata tale verifica, la determinazione dell'importo da erogare avrebbe dovuto richiedere solo un semplice calcolo aritmetico (...)</w:t>
      </w:r>
    </w:p>
    <w:p w14:paraId="4F502624" w14:textId="77777777" w:rsidR="00E3105A" w:rsidRPr="00E3105A" w:rsidRDefault="00E3105A" w:rsidP="00E3105A">
      <w:pPr>
        <w:jc w:val="both"/>
      </w:pPr>
      <w:r w:rsidRPr="00E3105A">
        <w:t>Alla luce di tali principi (...), l'esercizio del potere discrezionale invocato dall'USL è irrilevante ai fini del caso di specie, poiché altrimenti sarebbe possibile che una decisione amministrativa sostituisca una valutazione già ineluttabilmente compiuta dal legislatore (...)”</w:t>
      </w:r>
    </w:p>
    <w:p w14:paraId="50D4141C" w14:textId="77777777" w:rsidR="00E3105A" w:rsidRPr="00E3105A" w:rsidRDefault="00E3105A" w:rsidP="00E3105A">
      <w:pPr>
        <w:jc w:val="both"/>
      </w:pPr>
      <w:r w:rsidRPr="00E3105A">
        <w:t>Dopo aver accertato che GC (il parente del ricorrente in quel caso) era disabile al 100% e necessitava di assistenza costante, motivo per cui, a seguito di accertamenti effettuati dall'autorità convenuta, il suo nome era stato inserito nell'elenco dei beneficiari aventi diritto, la RAC ha stabilito che vi era l'obbligo di versare l'indennità.</w:t>
      </w:r>
    </w:p>
    <w:p w14:paraId="731458A0" w14:textId="77777777" w:rsidR="00E3105A" w:rsidRPr="00E3105A" w:rsidRDefault="00E3105A" w:rsidP="00E3105A">
      <w:pPr>
        <w:jc w:val="both"/>
      </w:pPr>
      <w:r w:rsidRPr="00E3105A">
        <w:t>19. Il </w:t>
      </w:r>
      <w:r w:rsidRPr="00E3105A">
        <w:rPr>
          <w:i/>
          <w:iCs/>
        </w:rPr>
        <w:t>Consiglio di Stato </w:t>
      </w:r>
      <w:r w:rsidRPr="00E3105A">
        <w:t>, pronunciandosi sulla questione della determinazione dell'importo dell'assegno, ha ritenuto che la Regione non potesse essere esonerata dall'obbligo di mettere a disposizione di ciascuna Azienda USL una somma destinata alle famiglie che prestano assistenza diretta a persone disabili e sufficientemente numerosa da garantire a ciascuna di tali famiglie la possibilità di percepire l'importo dell'assegno previsto dalla legge (sentenza n. 766 del 3 ottobre 1994).  </w:t>
      </w:r>
    </w:p>
    <w:p w14:paraId="6E98E5E3" w14:textId="77777777" w:rsidR="00E3105A" w:rsidRPr="00E3105A" w:rsidRDefault="00E3105A" w:rsidP="00E3105A">
      <w:pPr>
        <w:jc w:val="both"/>
      </w:pPr>
      <w:r w:rsidRPr="00E3105A">
        <w:t>Con sentenza n. 172 del 17 febbraio 1999 il </w:t>
      </w:r>
      <w:r w:rsidRPr="00E3105A">
        <w:rPr>
          <w:i/>
          <w:iCs/>
        </w:rPr>
        <w:t>Consiglio di Stato </w:t>
      </w:r>
      <w:r w:rsidRPr="00E3105A">
        <w:t>ha ritenuto che l'importo dell'assegno per i familiari che assistono direttamente i disabili, in quanto stabilito dalla legge, non poteva subire alcuna riduzione da parte dell'autorità amministrativa, che in materia non aveva alcun potere discrezionale in merito alla determinazione del quantum, e che tale conclusione non era in contraddizione con la natura dell'interesse legittimo dei familiari del disabile.</w:t>
      </w:r>
    </w:p>
    <w:p w14:paraId="7AB827BA" w14:textId="77777777" w:rsidR="00E3105A" w:rsidRPr="00E3105A" w:rsidRDefault="00E3105A" w:rsidP="00E3105A">
      <w:pPr>
        <w:jc w:val="both"/>
      </w:pPr>
      <w:r w:rsidRPr="00E3105A">
        <w:t>LA LEGGE</w:t>
      </w:r>
    </w:p>
    <w:p w14:paraId="05D90AED" w14:textId="77777777" w:rsidR="00E3105A" w:rsidRPr="00E3105A" w:rsidRDefault="00E3105A" w:rsidP="00E3105A">
      <w:pPr>
        <w:jc w:val="both"/>
      </w:pPr>
      <w:r w:rsidRPr="00E3105A">
        <w:t>I. presunta violazione dell'articolo 6 § 1 della Convenzione  </w:t>
      </w:r>
    </w:p>
    <w:p w14:paraId="7284DF6A" w14:textId="77777777" w:rsidR="00E3105A" w:rsidRPr="00E3105A" w:rsidRDefault="00E3105A" w:rsidP="00E3105A">
      <w:pPr>
        <w:jc w:val="both"/>
      </w:pPr>
      <w:r w:rsidRPr="00E3105A">
        <w:t>20. Il ricorrente lamentava la lunghezza del procedimento da lui avviato presso il Tribunale Amministrativo Regionale della Campania (“TAR”). Egli lamentava la violazione dell’articolo 6 § 1 della Convenzione, che prevede:  </w:t>
      </w:r>
    </w:p>
    <w:p w14:paraId="6E7BE3FC" w14:textId="77777777" w:rsidR="00E3105A" w:rsidRPr="00E3105A" w:rsidRDefault="00E3105A" w:rsidP="00E3105A">
      <w:pPr>
        <w:jc w:val="both"/>
      </w:pPr>
      <w:r w:rsidRPr="00E3105A">
        <w:t>“Nella determinazione dei suoi diritti e obblighi civili ..., ognuno ha diritto a un'udienza ... entro un termine ragionevole da parte di [un] ... tribunale ...”</w:t>
      </w:r>
    </w:p>
    <w:p w14:paraId="21E62BC4" w14:textId="77777777" w:rsidR="00E3105A" w:rsidRPr="00E3105A" w:rsidRDefault="00E3105A" w:rsidP="00E3105A">
      <w:pPr>
        <w:jc w:val="both"/>
      </w:pPr>
      <w:r w:rsidRPr="00E3105A">
        <w:rPr>
          <w:b/>
          <w:bCs/>
        </w:rPr>
        <w:t>A. Applicabilità  </w:t>
      </w:r>
    </w:p>
    <w:p w14:paraId="1629C35D" w14:textId="77777777" w:rsidR="00E3105A" w:rsidRPr="00E3105A" w:rsidRDefault="00E3105A" w:rsidP="00E3105A">
      <w:pPr>
        <w:jc w:val="both"/>
      </w:pPr>
      <w:r w:rsidRPr="00E3105A">
        <w:t xml:space="preserve">21. Il ricorrente ha sostenuto che l'articolo 6 § 1 era applicabile al caso di specie, poiché il suo ricorso al TAR riguardava un diritto civile di natura economica e il procedimento da lui avviato era determinante per i suoi diritti e obblighi privati, ai sensi della giurisprudenza della Corte. Ciò era dimostrato, in primo luogo, da sentenze sulla stessa questione in cui i tribunali amministrativi avevano ordinato all'autorità amministrativa di versare l'assegno in questione alle famiglie di altre persone disabili, e in secondo luogo dal fatto che lo stesso assegno era stato versato a seguito della conciliazione del 7 novembre 1997. Inoltre, secondo il ricorrente, una volta che il nome di suo figlio era stato inserito nell'elenco delle persone che soddisfacevano i requisiti richiesti dalla legge (una </w:t>
      </w:r>
      <w:r w:rsidRPr="00E3105A">
        <w:lastRenderedPageBreak/>
        <w:t>grave disabilità che richiedeva assistenza costante, come accertato da una visita medica), non poteva sussistere alcun dubbio circa l'obbligo di versare l'assegno.  </w:t>
      </w:r>
    </w:p>
    <w:p w14:paraId="5B38935C" w14:textId="77777777" w:rsidR="00E3105A" w:rsidRPr="00E3105A" w:rsidRDefault="00E3105A" w:rsidP="00E3105A">
      <w:pPr>
        <w:jc w:val="both"/>
      </w:pPr>
      <w:r w:rsidRPr="00E3105A">
        <w:t>22. Il Governo ha sostenuto il contrario, sostenendo che gli elementi di diritto pubblico del caso erano predominanti. L'assegno richiesto dal ricorrente era un pagamento </w:t>
      </w:r>
      <w:r w:rsidRPr="00E3105A">
        <w:rPr>
          <w:i/>
          <w:iCs/>
        </w:rPr>
        <w:t xml:space="preserve">ex </w:t>
      </w:r>
      <w:proofErr w:type="spellStart"/>
      <w:r w:rsidRPr="00E3105A">
        <w:rPr>
          <w:i/>
          <w:iCs/>
        </w:rPr>
        <w:t>gratia</w:t>
      </w:r>
      <w:proofErr w:type="spellEnd"/>
      <w:r w:rsidRPr="00E3105A">
        <w:rPr>
          <w:i/>
          <w:iCs/>
        </w:rPr>
        <w:t> </w:t>
      </w:r>
      <w:r w:rsidRPr="00E3105A">
        <w:t>effettuato dallo Stato a causa di una situazione eccezionale derivante dalla grave malattia del figlio del ricorrente ed era motivato da considerazioni di solidarietà sociale e di politica economica pubblica. Nessun diritto economico poteva essere riconosciuto prima che l'autorità amministrativa competente, che disponeva di un ampio potere discrezionale in materia, avesse adottato una decisione di concessione dell'assegno. Non vi era quindi stata alcuna controversia su un diritto "civile". Inoltre, la conciliazione amichevole menzionata dal ricorrente aveva semplicemente posto fine al procedimento lamentato e non implicava alcun riconoscimento del diritto rivendicato. Infine, il Governo si è limitato a contestare l'affermazione secondo cui i giudici amministrativi avevano emesso sentenze che ordinavano alle autorità di versare l'assegno a persone che si trovavano nella stessa situazione del ricorrente.  </w:t>
      </w:r>
    </w:p>
    <w:p w14:paraId="247A22B1" w14:textId="77777777" w:rsidR="00E3105A" w:rsidRPr="00E3105A" w:rsidRDefault="00E3105A" w:rsidP="00E3105A">
      <w:pPr>
        <w:jc w:val="both"/>
      </w:pPr>
      <w:r w:rsidRPr="00E3105A">
        <w:t>23. La Corte ribadisce che, secondo i principi stabiliti dalla sua giurisprudenza, deve innanzitutto accertare se vi sia stata una “controversia” (“ </w:t>
      </w:r>
      <w:r w:rsidRPr="00E3105A">
        <w:rPr>
          <w:i/>
          <w:iCs/>
        </w:rPr>
        <w:t>contestazione </w:t>
      </w:r>
      <w:r w:rsidRPr="00E3105A">
        <w:t>”) su un “diritto” che può dirsi, almeno per motivi discutibili, riconosciuto dal diritto interno. La controversia deve essere reale e grave; può vertere non solo sull’esistenza effettiva di un diritto, ma anche sulla sua portata e sulle modalità del suo esercizio. L'esito del procedimento deve essere direttamente decisivo per il diritto in questione (vedere le seguenti sentenze: Acquaviva c. Francia, 21 novembre 1995, serie A n. 333-A, p. 14, § 46; Balmer-</w:t>
      </w:r>
      <w:proofErr w:type="spellStart"/>
      <w:r w:rsidRPr="00E3105A">
        <w:t>Schafroth</w:t>
      </w:r>
      <w:proofErr w:type="spellEnd"/>
      <w:r w:rsidRPr="00E3105A">
        <w:t xml:space="preserve"> e altri c. Svizzera, 26 agosto 1997, </w:t>
      </w:r>
      <w:r w:rsidRPr="00E3105A">
        <w:rPr>
          <w:i/>
          <w:iCs/>
        </w:rPr>
        <w:t>Raccolta delle sentenze e decisioni </w:t>
      </w:r>
      <w:r w:rsidRPr="00E3105A">
        <w:t xml:space="preserve">1997-IV, p. 1357, § 32; Le </w:t>
      </w:r>
      <w:proofErr w:type="spellStart"/>
      <w:r w:rsidRPr="00E3105A">
        <w:t>Calvez</w:t>
      </w:r>
      <w:proofErr w:type="spellEnd"/>
      <w:r w:rsidRPr="00E3105A">
        <w:t xml:space="preserve"> c. Francia, 29 luglio 1998, </w:t>
      </w:r>
      <w:r w:rsidRPr="00E3105A">
        <w:rPr>
          <w:i/>
          <w:iCs/>
        </w:rPr>
        <w:t>Raccolta </w:t>
      </w:r>
      <w:r w:rsidRPr="00E3105A">
        <w:t>1998-V, pp. 1899-900, § 56; e </w:t>
      </w:r>
      <w:proofErr w:type="spellStart"/>
      <w:r w:rsidRPr="00E3105A">
        <w:rPr>
          <w:i/>
          <w:iCs/>
        </w:rPr>
        <w:t>Athanassoglou</w:t>
      </w:r>
      <w:proofErr w:type="spellEnd"/>
      <w:r w:rsidRPr="00E3105A">
        <w:rPr>
          <w:i/>
          <w:iCs/>
        </w:rPr>
        <w:t xml:space="preserve"> e altri c. Svizzera </w:t>
      </w:r>
      <w:r w:rsidRPr="00E3105A">
        <w:t>[GC], n. </w:t>
      </w:r>
      <w:hyperlink r:id="rId9" w:anchor="{%22appno%22:[%2227644/95%22]}" w:tgtFrame="_blank" w:history="1">
        <w:r w:rsidRPr="00E3105A">
          <w:rPr>
            <w:rStyle w:val="Collegamentoipertestuale"/>
          </w:rPr>
          <w:t>27644/95</w:t>
        </w:r>
      </w:hyperlink>
      <w:r w:rsidRPr="00E3105A">
        <w:t> , § 43, CEDU 2000-IV). Infine, il diritto deve essere un diritto "civile".   </w:t>
      </w:r>
    </w:p>
    <w:p w14:paraId="7C9193D9" w14:textId="77777777" w:rsidR="00E3105A" w:rsidRPr="00E3105A" w:rsidRDefault="00E3105A" w:rsidP="00E3105A">
      <w:pPr>
        <w:jc w:val="both"/>
      </w:pPr>
      <w:r w:rsidRPr="00E3105A">
        <w:t>24. La Corte rileva, in primo luogo, che il Governo non ha negato che, a seguito del tacito diniego dell'autorità amministrativa, fosse sorta una controversia tra il ricorrente e le stesse autorità. La controversia era indubbiamente seria e grave, poiché il TAR Campania, nel definire la domanda del ricorrente, l'ha accolta in parte. L'esito del procedimento era altresì decisivo, poiché riguardava l'esistenza del diritto del ricorrente a ottenere l'intero importo dell'indennità.  </w:t>
      </w:r>
    </w:p>
    <w:p w14:paraId="77E1EAD5" w14:textId="77777777" w:rsidR="00E3105A" w:rsidRPr="00E3105A" w:rsidRDefault="00E3105A" w:rsidP="00E3105A">
      <w:pPr>
        <w:jc w:val="both"/>
      </w:pPr>
      <w:r w:rsidRPr="00E3105A">
        <w:t>25. In secondo luogo, la Corte rileva che l'articolo 26 della legge regionale n. 11 del 15 marzo 1984 ("la legge regionale") autorizzava le aziende sanitarie pubbliche locali a erogare l'indennità in questione, ma non conferiva automaticamente alle famiglie che si occupano di persone con disabilità fisica o mentale il diritto di riceverla. Così ha spiegato il TAR nella sentenza del 14 gennaio e del 4 febbraio 1997, quando ha respinto la domanda del ricorrente. Il ricorrente poteva semplicemente invocare un legittimo interesse a ottenere una risposta dall'Unità Sanitaria Locale ( </w:t>
      </w:r>
      <w:r w:rsidRPr="00E3105A">
        <w:rPr>
          <w:i/>
          <w:iCs/>
        </w:rPr>
        <w:t>USL </w:t>
      </w:r>
      <w:r w:rsidRPr="00E3105A">
        <w:t xml:space="preserve">) al suo avviso di pagamento del 12 giugno 1993 (cfr. paragrafo 12 </w:t>
      </w:r>
      <w:proofErr w:type="spellStart"/>
      <w:r w:rsidRPr="00E3105A">
        <w:t>supra</w:t>
      </w:r>
      <w:proofErr w:type="spellEnd"/>
      <w:r w:rsidRPr="00E3105A">
        <w:t xml:space="preserve">). Il suo diritto all'indennità non poteva essergli riconosciuto fino a quando l'USL non avesse adottato una decisione di concessione dell'indennità e ne avesse specificato l'importo complessivo. Il TAR aveva seguito la giurisprudenza della Corte di Cassazione secondo cui, in presenza di un legittimo interesse a contestare una </w:t>
      </w:r>
      <w:r w:rsidRPr="00E3105A">
        <w:lastRenderedPageBreak/>
        <w:t xml:space="preserve">decisione delle autorità amministrative ma in assenza di un diritto soggettivo, la giurisdizione spettava al giudice amministrativo e non a quello civile. Tuttavia, nella stessa decisione, il TAR ha ritenuto che la condotta dell'USL, che aveva versato al ricorrente due rate mensili, si prestasse a due interpretazioni alternative: il ricorrente avrebbe potuto ritenere che l'USL stesse effettuando un pagamento a titolo di acconto, riservandosi la determinazione definitiva dell'importo da versare a un successivo accertamento, oppure che avesse accettato di versare una somma maggiore con una prima rata a cui ne sarebbero seguite altre. Inoltre, l'autorità amministrativa non aveva alcun potere discrezionale sull'importo dell'indennità, che era fissato per legge. Dopo aver verificato che il ricorrente soddisfacesse le condizioni per il diritto all'indennità, l'USL avrebbe dovuto semplicemente effettuare un calcolo aritmetico dell'importo (cfr. paragrafo 18 </w:t>
      </w:r>
      <w:proofErr w:type="spellStart"/>
      <w:r w:rsidRPr="00E3105A">
        <w:t>supra</w:t>
      </w:r>
      <w:proofErr w:type="spellEnd"/>
      <w:r w:rsidRPr="00E3105A">
        <w:t>). La stessa linea è stata seguita in diverse sentenze in cui il TAR Campania ha ritenuto che soggetti nella stessa situazione del ricorrente avessero diritto all'indennità, sebbene tale riconoscimento sia stato negato dal Governo. Anche il </w:t>
      </w:r>
      <w:r w:rsidRPr="00E3105A">
        <w:rPr>
          <w:i/>
          <w:iCs/>
        </w:rPr>
        <w:t>Consiglio di Stato </w:t>
      </w:r>
      <w:r w:rsidRPr="00E3105A">
        <w:t>ha affermato l'assenza di discrezionalità da parte dell'autorità amministrativa e ha stabilito che la Regione è tenuta a fornire i fondi necessari a garantire il pagamento dell'indennità ai beneficiari nella misura stabilita dalla legge.   </w:t>
      </w:r>
    </w:p>
    <w:p w14:paraId="30FAE916" w14:textId="77777777" w:rsidR="00E3105A" w:rsidRPr="00E3105A" w:rsidRDefault="00E3105A" w:rsidP="00E3105A">
      <w:pPr>
        <w:jc w:val="both"/>
      </w:pPr>
      <w:r w:rsidRPr="00E3105A">
        <w:t>26. L'argomentazione del Governo secondo cui l'indennità era un pagamento </w:t>
      </w:r>
      <w:r w:rsidRPr="00E3105A">
        <w:rPr>
          <w:i/>
          <w:iCs/>
        </w:rPr>
        <w:t xml:space="preserve">ex </w:t>
      </w:r>
      <w:proofErr w:type="spellStart"/>
      <w:r w:rsidRPr="00E3105A">
        <w:rPr>
          <w:i/>
          <w:iCs/>
        </w:rPr>
        <w:t>gratia</w:t>
      </w:r>
      <w:proofErr w:type="spellEnd"/>
      <w:r w:rsidRPr="00E3105A">
        <w:rPr>
          <w:i/>
          <w:iCs/>
        </w:rPr>
        <w:t> </w:t>
      </w:r>
      <w:r w:rsidRPr="00E3105A">
        <w:t>da parte dello Stato è contraddetta dalla giurisprudenza della Corte di Cassazione, la quale ha stabilito che, quando la giurisdizione dei giudici ordinari è stata riconosciuta con sentenza passata in giudicato, le controversie relative all'articolo 26 della legge regionale rientrano nella categoria delle controversie in materia di assistenza obbligatoria, che sono giudicate da un tribunale di primo grado, che si riunisce come tribunale del lavoro (vedi paragrafo 17 sopra).  </w:t>
      </w:r>
    </w:p>
    <w:p w14:paraId="24CCC6A3" w14:textId="77777777" w:rsidR="00E3105A" w:rsidRPr="00E3105A" w:rsidRDefault="00E3105A" w:rsidP="00E3105A">
      <w:pPr>
        <w:jc w:val="both"/>
      </w:pPr>
      <w:r w:rsidRPr="00E3105A">
        <w:t>27. La Corte non ritiene necessario esaminare se la nozione autonoma di diritto ai sensi dell'articolo 6 § 1 della Convenzione comprenda solo un "diritto soggettivo </w:t>
      </w:r>
      <w:r w:rsidRPr="00E3105A">
        <w:rPr>
          <w:i/>
          <w:iCs/>
        </w:rPr>
        <w:t>perfetto </w:t>
      </w:r>
      <w:r w:rsidRPr="00E3105A">
        <w:t>" o anche un "interesse legittimo" </w:t>
      </w:r>
      <w:r w:rsidRPr="00E3105A">
        <w:rPr>
          <w:i/>
          <w:iCs/>
        </w:rPr>
        <w:t>. </w:t>
      </w:r>
      <w:r w:rsidRPr="00E3105A">
        <w:t>Essa si limita a rilevare che l'articolo 26 della legge regionale aveva dato origine a un conflitto di giurisdizione. Basandosi sulle sentenze del TAR e del </w:t>
      </w:r>
      <w:r w:rsidRPr="00E3105A">
        <w:rPr>
          <w:i/>
          <w:iCs/>
        </w:rPr>
        <w:t>Consiglio di Stato </w:t>
      </w:r>
      <w:r w:rsidRPr="00E3105A">
        <w:t>che non seguivano la giurisprudenza della Corte di cassazione, e sul fatto che, nell'ordinamento italiano, la Corte di cassazione non ha il potere di imporre ai giudici amministrativi la soluzione della questione giuridica in esame, il ricorrente poteva rivendicare, almeno per motivi discutibili, il diritto a ricevere l'intero importo dell'assegno, tanto più che aveva già ricevuto due rate mensili, cosicché avrebbe potuto essere indotto a credere di avere effettivamente tale diritto.   </w:t>
      </w:r>
    </w:p>
    <w:p w14:paraId="5EED264B" w14:textId="77777777" w:rsidR="00E3105A" w:rsidRPr="00E3105A" w:rsidRDefault="00E3105A" w:rsidP="00E3105A">
      <w:pPr>
        <w:jc w:val="both"/>
      </w:pPr>
      <w:r w:rsidRPr="00E3105A">
        <w:t>28. Infine, la Corte ritiene che il diritto in questione, di natura economica, costituisca un diritto “civile” ai sensi della sua giurisprudenza (vedere, tra le altre, la sentenza Salesi c. Italia del 26 febbraio 1993, serie A n. 257-E, pp. 59-60, § 19).  </w:t>
      </w:r>
    </w:p>
    <w:p w14:paraId="4AE2E53C" w14:textId="77777777" w:rsidR="00E3105A" w:rsidRPr="00E3105A" w:rsidRDefault="00E3105A" w:rsidP="00E3105A">
      <w:pPr>
        <w:jc w:val="both"/>
      </w:pPr>
      <w:r w:rsidRPr="00E3105A">
        <w:t>Di conseguenza, nel caso di specie è applicabile l'articolo 6 § 1 della Convenzione.</w:t>
      </w:r>
    </w:p>
    <w:p w14:paraId="7D810E67" w14:textId="77777777" w:rsidR="00E3105A" w:rsidRPr="00E3105A" w:rsidRDefault="00E3105A" w:rsidP="00E3105A">
      <w:pPr>
        <w:jc w:val="both"/>
      </w:pPr>
      <w:r w:rsidRPr="00E3105A">
        <w:rPr>
          <w:b/>
          <w:bCs/>
        </w:rPr>
        <w:t>B. Conformità  </w:t>
      </w:r>
    </w:p>
    <w:p w14:paraId="5B127CED" w14:textId="77777777" w:rsidR="00E3105A" w:rsidRPr="00E3105A" w:rsidRDefault="00E3105A" w:rsidP="00E3105A">
      <w:pPr>
        <w:jc w:val="both"/>
      </w:pPr>
      <w:r w:rsidRPr="00E3105A">
        <w:t xml:space="preserve">29. Resta da stabilire se sia stato superato un “termine ragionevole”. Il periodo da prendere in considerazione è iniziato il 2 agosto 1993 con il ricorso al TAR ed è terminato il 27 dicembre 1997, </w:t>
      </w:r>
      <w:r w:rsidRPr="00E3105A">
        <w:lastRenderedPageBreak/>
        <w:t>quando è stata depositata in cancelleria la sentenza di cancellazione del ruolo del </w:t>
      </w:r>
      <w:r w:rsidRPr="00E3105A">
        <w:rPr>
          <w:i/>
          <w:iCs/>
        </w:rPr>
        <w:t>Consiglio di Stato . È durato quindi poco meno di quattro anni e cinque mesi.</w:t>
      </w:r>
      <w:r w:rsidRPr="00E3105A">
        <w:t>  </w:t>
      </w:r>
    </w:p>
    <w:p w14:paraId="6F4F8582" w14:textId="77777777" w:rsidR="00E3105A" w:rsidRPr="00E3105A" w:rsidRDefault="00E3105A" w:rsidP="00E3105A">
      <w:pPr>
        <w:jc w:val="both"/>
      </w:pPr>
      <w:r w:rsidRPr="00E3105A">
        <w:t>30. La Corte osserva di aver constatato in diverse occasioni (si veda, ad esempio, </w:t>
      </w:r>
      <w:r w:rsidRPr="00E3105A">
        <w:rPr>
          <w:i/>
          <w:iCs/>
        </w:rPr>
        <w:t>Bottazzi c. Italia </w:t>
      </w:r>
      <w:r w:rsidRPr="00E3105A">
        <w:t>[GC], n. </w:t>
      </w:r>
      <w:hyperlink r:id="rId10" w:anchor="{%22appno%22:[%2234884/97%22]}" w:tgtFrame="_blank" w:history="1">
        <w:r w:rsidRPr="00E3105A">
          <w:rPr>
            <w:rStyle w:val="Collegamentoipertestuale"/>
          </w:rPr>
          <w:t>34884/97</w:t>
        </w:r>
      </w:hyperlink>
      <w:r w:rsidRPr="00E3105A">
        <w:t> , § 22, CEDU 1999-V) l'esistenza in Italia di una prassi incompatibile con la Convenzione derivante dal cumulo di violazioni del requisito del “termine ragionevole”. Qualora la Corte constati tale violazione, il cumulo in questione costituisce una circostanza aggravante della violazione dell'articolo 6 § 1.  </w:t>
      </w:r>
    </w:p>
    <w:p w14:paraId="58C1BE44" w14:textId="77777777" w:rsidR="00E3105A" w:rsidRPr="00E3105A" w:rsidRDefault="00E3105A" w:rsidP="00E3105A">
      <w:pPr>
        <w:jc w:val="both"/>
      </w:pPr>
      <w:r w:rsidRPr="00E3105A">
        <w:t>Dopo aver esaminato i fatti del caso alla luce delle argomentazioni delle parti e tenuto conto della propria giurisprudenza in materia, la Corte ritiene che la durata del procedimento contestata non abbia soddisfatto il requisito del “termine ragionevole” e che si sia trattato di un ulteriore esempio della prassi sopra menzionata.</w:t>
      </w:r>
    </w:p>
    <w:p w14:paraId="1BAD223A" w14:textId="77777777" w:rsidR="00E3105A" w:rsidRPr="00E3105A" w:rsidRDefault="00E3105A" w:rsidP="00E3105A">
      <w:pPr>
        <w:jc w:val="both"/>
      </w:pPr>
      <w:r w:rsidRPr="00E3105A">
        <w:t>Vi è stata pertanto una violazione dell'articolo 6 § 1 della Convenzione.</w:t>
      </w:r>
    </w:p>
    <w:p w14:paraId="5C06D7A5" w14:textId="77777777" w:rsidR="00E3105A" w:rsidRPr="00E3105A" w:rsidRDefault="00E3105A" w:rsidP="00E3105A">
      <w:pPr>
        <w:jc w:val="both"/>
      </w:pPr>
      <w:r w:rsidRPr="00E3105A">
        <w:t>II. Applicazione dell'articolo 41 della Convenzione  </w:t>
      </w:r>
    </w:p>
    <w:p w14:paraId="0D8BC736" w14:textId="77777777" w:rsidR="00E3105A" w:rsidRPr="00E3105A" w:rsidRDefault="00E3105A" w:rsidP="00E3105A">
      <w:pPr>
        <w:jc w:val="both"/>
      </w:pPr>
      <w:r w:rsidRPr="00E3105A">
        <w:t>31. L'articolo 41 della Convenzione prevede:  </w:t>
      </w:r>
    </w:p>
    <w:p w14:paraId="4666162B" w14:textId="77777777" w:rsidR="00E3105A" w:rsidRPr="00E3105A" w:rsidRDefault="00E3105A" w:rsidP="00E3105A">
      <w:pPr>
        <w:jc w:val="both"/>
      </w:pPr>
      <w:r w:rsidRPr="00E3105A">
        <w:t>“Se la Corte accerta che vi è stata violazione della Convenzione o dei suoi Protocolli e se il diritto interno dell’Alta Parte contraente interessata consente solo una riparazione parziale, la Corte accorda, se necessario, un’equa soddisfazione alla parte lesa.”</w:t>
      </w:r>
    </w:p>
    <w:p w14:paraId="556D4843" w14:textId="77777777" w:rsidR="00E3105A" w:rsidRPr="00E3105A" w:rsidRDefault="00E3105A" w:rsidP="00E3105A">
      <w:pPr>
        <w:jc w:val="both"/>
      </w:pPr>
      <w:r w:rsidRPr="00E3105A">
        <w:rPr>
          <w:b/>
          <w:bCs/>
        </w:rPr>
        <w:t>A. Danni  </w:t>
      </w:r>
    </w:p>
    <w:p w14:paraId="5C7A079B" w14:textId="77777777" w:rsidR="00E3105A" w:rsidRPr="00E3105A" w:rsidRDefault="00E3105A" w:rsidP="00E3105A">
      <w:pPr>
        <w:jc w:val="both"/>
      </w:pPr>
      <w:r w:rsidRPr="00E3105A">
        <w:t>32. Il ricorrente ha chiesto alla Corte di condannare lo Stato convenuto a pagargli 150.000.000 di lire italiane (ITL) esclusivamente per il danno morale da lui subito.  </w:t>
      </w:r>
    </w:p>
    <w:p w14:paraId="5082BA45" w14:textId="77777777" w:rsidR="00E3105A" w:rsidRPr="00E3105A" w:rsidRDefault="00E3105A" w:rsidP="00E3105A">
      <w:pPr>
        <w:jc w:val="both"/>
      </w:pPr>
      <w:r w:rsidRPr="00E3105A">
        <w:t>33. Il Governo ha ritenuto che la somma richiesta fosse eccessiva e sproporzionata. Ha sostenuto che, data la natura del caso, la constatazione di una violazione della Convenzione costituirebbe di per sé un'equa soddisfazione sufficiente ai sensi dell'articolo 41.  </w:t>
      </w:r>
    </w:p>
    <w:p w14:paraId="4230D7A9" w14:textId="77777777" w:rsidR="00E3105A" w:rsidRPr="00E3105A" w:rsidRDefault="00E3105A" w:rsidP="00E3105A">
      <w:pPr>
        <w:jc w:val="both"/>
      </w:pPr>
      <w:r w:rsidRPr="00E3105A">
        <w:t>34. La Corte ritiene che il ricorrente abbia subito un certo danno morale, tenuto conto della posta in gioco nella controversia. Tuttavia, l'importo indicato dal ricorrente è esorbitante. Stabilendo secondo equità, come richiesto dalla Convenzione, la Corte gli accorda 5.000.000 di lire.   </w:t>
      </w:r>
    </w:p>
    <w:p w14:paraId="66CE4C21" w14:textId="77777777" w:rsidR="00E3105A" w:rsidRPr="00E3105A" w:rsidRDefault="00E3105A" w:rsidP="00E3105A">
      <w:pPr>
        <w:jc w:val="both"/>
      </w:pPr>
      <w:r w:rsidRPr="00E3105A">
        <w:rPr>
          <w:b/>
          <w:bCs/>
        </w:rPr>
        <w:t>B. Costi e spese  </w:t>
      </w:r>
    </w:p>
    <w:p w14:paraId="134B70BF" w14:textId="77777777" w:rsidR="00E3105A" w:rsidRPr="00E3105A" w:rsidRDefault="00E3105A" w:rsidP="00E3105A">
      <w:pPr>
        <w:jc w:val="both"/>
      </w:pPr>
      <w:r w:rsidRPr="00E3105A">
        <w:t>35. Il ricorrente ha chiesto il rimborso di 21.464.628 lire per le spese e gli onorari degli avvocati sostenuti per il procedimento dinanzi alla Commissione e poi alla Corte, compresa una somma forfettaria di 6.000.000 di lire per la partecipazione dei suoi rappresentanti all'udienza dinanzi alla Corte dell'8 marzo 2000.   </w:t>
      </w:r>
    </w:p>
    <w:p w14:paraId="5031124C" w14:textId="77777777" w:rsidR="00E3105A" w:rsidRPr="00E3105A" w:rsidRDefault="00E3105A" w:rsidP="00E3105A">
      <w:pPr>
        <w:jc w:val="both"/>
      </w:pPr>
      <w:r w:rsidRPr="00E3105A">
        <w:t>36. Il Governo ha rimesso la questione alla discrezionalità della Corte, sottolineando tuttavia che il ricorrente aveva beneficiato del patrocinio a spese dello Stato per il procedimento dinanzi alla Corte.  </w:t>
      </w:r>
    </w:p>
    <w:p w14:paraId="0597CF52" w14:textId="77777777" w:rsidR="00E3105A" w:rsidRPr="00E3105A" w:rsidRDefault="00E3105A" w:rsidP="00E3105A">
      <w:pPr>
        <w:jc w:val="both"/>
      </w:pPr>
      <w:r w:rsidRPr="00E3105A">
        <w:lastRenderedPageBreak/>
        <w:t>37. Tenuto conto delle informazioni in suo possesso e della prassi in materia, la Corte ritiene ragionevole accordare la somma di 10.000.000 di lire, dedotta la somma versata dal Consiglio d'Europa a titolo di assistenza legale, vale a dire 8.100 franchi francesi.   </w:t>
      </w:r>
    </w:p>
    <w:p w14:paraId="2BF92ADF" w14:textId="77777777" w:rsidR="00E3105A" w:rsidRPr="00E3105A" w:rsidRDefault="00E3105A" w:rsidP="00E3105A">
      <w:pPr>
        <w:jc w:val="both"/>
      </w:pPr>
      <w:r w:rsidRPr="00E3105A">
        <w:rPr>
          <w:b/>
          <w:bCs/>
        </w:rPr>
        <w:t>C. Interessi di mora  </w:t>
      </w:r>
    </w:p>
    <w:p w14:paraId="10EE7BB1" w14:textId="77777777" w:rsidR="00E3105A" w:rsidRPr="00E3105A" w:rsidRDefault="00E3105A" w:rsidP="00E3105A">
      <w:pPr>
        <w:jc w:val="both"/>
      </w:pPr>
      <w:r w:rsidRPr="00E3105A">
        <w:t>38. Secondo le informazioni a disposizione della Corte, il tasso di interesse legale applicabile in Italia alla data di adozione della presente sentenza è del 2,5% annuo.  </w:t>
      </w:r>
    </w:p>
    <w:p w14:paraId="280BDE23" w14:textId="77777777" w:rsidR="00E3105A" w:rsidRPr="00E3105A" w:rsidRDefault="00E3105A" w:rsidP="00E3105A">
      <w:pPr>
        <w:jc w:val="both"/>
      </w:pPr>
      <w:r w:rsidRPr="00E3105A">
        <w:t>PER QUESTE RAGIONI, LA CORTE</w:t>
      </w:r>
    </w:p>
    <w:p w14:paraId="6A55BE54" w14:textId="77777777" w:rsidR="00E3105A" w:rsidRPr="00E3105A" w:rsidRDefault="00E3105A" w:rsidP="00E3105A">
      <w:pPr>
        <w:jc w:val="both"/>
      </w:pPr>
      <w:r w:rsidRPr="00E3105A">
        <w:t>1. </w:t>
      </w:r>
      <w:r w:rsidRPr="00E3105A">
        <w:rPr>
          <w:i/>
          <w:iCs/>
        </w:rPr>
        <w:t>Ritiene </w:t>
      </w:r>
      <w:r w:rsidRPr="00E3105A">
        <w:t>, con quindici voti contro due, che l'articolo 6 § 1 della Convenzione è applicabile al caso di specie e che è stato violato;  </w:t>
      </w:r>
    </w:p>
    <w:p w14:paraId="47F4C2B2" w14:textId="77777777" w:rsidR="00E3105A" w:rsidRPr="00E3105A" w:rsidRDefault="00E3105A" w:rsidP="00E3105A">
      <w:pPr>
        <w:jc w:val="both"/>
      </w:pPr>
      <w:r w:rsidRPr="00E3105A">
        <w:t>2. </w:t>
      </w:r>
      <w:r w:rsidRPr="00E3105A">
        <w:rPr>
          <w:i/>
          <w:iCs/>
        </w:rPr>
        <w:t>Approvato </w:t>
      </w:r>
      <w:r w:rsidRPr="00E3105A">
        <w:t>con quindici voti contro due  </w:t>
      </w:r>
    </w:p>
    <w:p w14:paraId="13DDF3EB" w14:textId="77777777" w:rsidR="00E3105A" w:rsidRPr="00E3105A" w:rsidRDefault="00E3105A" w:rsidP="00E3105A">
      <w:pPr>
        <w:jc w:val="both"/>
      </w:pPr>
      <w:r w:rsidRPr="00E3105A">
        <w:t>a) che lo Stato convenuto deve versare al ricorrente, entro tre mesi, le seguenti somme: 5.000.000 di lire italiane (cinque milioni di lire italiane) per danno morale e 10.000.000 di lire italiane (dieci milioni di lire italiane) per spese processuali, dedotto l'importo pagato dal Consiglio d'Europa a titolo di assistenza legale;  </w:t>
      </w:r>
    </w:p>
    <w:p w14:paraId="44E33C43" w14:textId="77777777" w:rsidR="00E3105A" w:rsidRPr="00E3105A" w:rsidRDefault="00E3105A" w:rsidP="00E3105A">
      <w:pPr>
        <w:jc w:val="both"/>
      </w:pPr>
      <w:r w:rsidRPr="00E3105A">
        <w:t>(b) che su tali somme saranno dovuti interessi semplici al tasso annuo del 2,5% a partire dalla scadenza dei tre mesi sopra menzionati fino al saldo;  </w:t>
      </w:r>
    </w:p>
    <w:p w14:paraId="7626640D" w14:textId="77777777" w:rsidR="00E3105A" w:rsidRPr="00E3105A" w:rsidRDefault="00E3105A" w:rsidP="00E3105A">
      <w:pPr>
        <w:jc w:val="both"/>
      </w:pPr>
      <w:r w:rsidRPr="00E3105A">
        <w:t>3. </w:t>
      </w:r>
      <w:r w:rsidRPr="00E3105A">
        <w:rPr>
          <w:i/>
          <w:iCs/>
        </w:rPr>
        <w:t>Respinge </w:t>
      </w:r>
      <w:r w:rsidRPr="00E3105A">
        <w:t>all'unanimità la restante parte della domanda di equa soddisfazione.  </w:t>
      </w:r>
    </w:p>
    <w:p w14:paraId="39D94906" w14:textId="77777777" w:rsidR="00E3105A" w:rsidRPr="00E3105A" w:rsidRDefault="00E3105A" w:rsidP="00E3105A">
      <w:pPr>
        <w:jc w:val="both"/>
      </w:pPr>
      <w:r w:rsidRPr="00E3105A">
        <w:t>Redatto in inglese e in francese e pronunciato in un'udienza pubblica presso il Palazzo dei diritti dell'uomo a Strasburgo, il 5 ottobre 2000.</w:t>
      </w:r>
    </w:p>
    <w:p w14:paraId="5FD34039" w14:textId="7EE8F084" w:rsidR="00E3105A" w:rsidRPr="00E3105A" w:rsidRDefault="00E3105A" w:rsidP="00E3105A">
      <w:pPr>
        <w:jc w:val="both"/>
      </w:pPr>
      <w:r w:rsidRPr="00E3105A">
        <w:t>  </w:t>
      </w:r>
      <w:proofErr w:type="spellStart"/>
      <w:r w:rsidRPr="00E3105A">
        <w:t>Luzius</w:t>
      </w:r>
      <w:proofErr w:type="spellEnd"/>
      <w:r w:rsidRPr="00E3105A">
        <w:t> Wildhaber</w:t>
      </w:r>
      <w:r w:rsidRPr="00E3105A">
        <w:br/>
        <w:t>  Presidente</w:t>
      </w:r>
      <w:r w:rsidRPr="00E3105A">
        <w:br/>
        <w:t> Michele de Salvia</w:t>
      </w:r>
      <w:r w:rsidR="001656CE">
        <w:t xml:space="preserve"> </w:t>
      </w:r>
      <w:r w:rsidRPr="00E3105A">
        <w:t> Cancelliere</w:t>
      </w:r>
    </w:p>
    <w:p w14:paraId="12CAF5CD" w14:textId="77777777" w:rsidR="00E3105A" w:rsidRPr="00E3105A" w:rsidRDefault="00E3105A" w:rsidP="00E3105A">
      <w:pPr>
        <w:jc w:val="both"/>
      </w:pPr>
      <w:r w:rsidRPr="00E3105A">
        <w:t>Ai sensi dell'articolo 45 § 2 della Convenzione e dell'articolo 74 § 2 del Regolamento della Corte, l'opinione dissenziente del signor Ferrari Bravo, cui si unisce il signor </w:t>
      </w:r>
      <w:proofErr w:type="spellStart"/>
      <w:r w:rsidRPr="00E3105A">
        <w:t>Butkevych</w:t>
      </w:r>
      <w:proofErr w:type="spellEnd"/>
      <w:r w:rsidRPr="00E3105A">
        <w:t>, è allegata alla presente sentenza. </w:t>
      </w:r>
    </w:p>
    <w:p w14:paraId="0F446FB9" w14:textId="77777777" w:rsidR="00E3105A" w:rsidRPr="00E3105A" w:rsidRDefault="00E3105A" w:rsidP="00E3105A">
      <w:pPr>
        <w:jc w:val="both"/>
      </w:pPr>
      <w:r w:rsidRPr="00E3105A">
        <w:t>LW</w:t>
      </w:r>
      <w:r w:rsidRPr="00E3105A">
        <w:br/>
        <w:t>M. de S.</w:t>
      </w:r>
    </w:p>
    <w:p w14:paraId="41F1CBD9" w14:textId="27ADC25A" w:rsidR="00E3105A" w:rsidRPr="00E3105A" w:rsidRDefault="00E3105A" w:rsidP="00E3105A">
      <w:pPr>
        <w:jc w:val="both"/>
      </w:pPr>
      <w:r w:rsidRPr="00E3105A">
        <w:t xml:space="preserve">opinione dissenziente del giudice Ferrari </w:t>
      </w:r>
      <w:proofErr w:type="spellStart"/>
      <w:r w:rsidRPr="00E3105A">
        <w:t>Bravocondivisa</w:t>
      </w:r>
      <w:proofErr w:type="spellEnd"/>
      <w:r w:rsidRPr="00E3105A">
        <w:t xml:space="preserve"> dal giudice </w:t>
      </w:r>
      <w:proofErr w:type="spellStart"/>
      <w:r w:rsidRPr="00E3105A">
        <w:t>Butkevych</w:t>
      </w:r>
      <w:proofErr w:type="spellEnd"/>
    </w:p>
    <w:p w14:paraId="742626BC" w14:textId="77777777" w:rsidR="00E3105A" w:rsidRPr="00E3105A" w:rsidRDefault="00E3105A" w:rsidP="00E3105A">
      <w:pPr>
        <w:jc w:val="both"/>
      </w:pPr>
      <w:r w:rsidRPr="00E3105A">
        <w:rPr>
          <w:i/>
          <w:iCs/>
        </w:rPr>
        <w:t>(Traduzione)</w:t>
      </w:r>
    </w:p>
    <w:p w14:paraId="76A8F181" w14:textId="77777777" w:rsidR="00E3105A" w:rsidRPr="00E3105A" w:rsidRDefault="00E3105A" w:rsidP="00E3105A">
      <w:pPr>
        <w:jc w:val="both"/>
      </w:pPr>
      <w:r w:rsidRPr="00E3105A">
        <w:t>Mi rammarico di non poter votare a favore della sentenza </w:t>
      </w:r>
      <w:proofErr w:type="spellStart"/>
      <w:r w:rsidRPr="00E3105A">
        <w:rPr>
          <w:i/>
          <w:iCs/>
        </w:rPr>
        <w:t>Mennitto</w:t>
      </w:r>
      <w:proofErr w:type="spellEnd"/>
      <w:r w:rsidRPr="00E3105A">
        <w:rPr>
          <w:i/>
          <w:iCs/>
        </w:rPr>
        <w:t> </w:t>
      </w:r>
      <w:r w:rsidRPr="00E3105A">
        <w:t>, ma mi sembra che la Corte stia sottovalutando una distinzione fondamentale, ovvero quella tra un “ </w:t>
      </w:r>
      <w:r w:rsidRPr="00E3105A">
        <w:rPr>
          <w:i/>
          <w:iCs/>
        </w:rPr>
        <w:t>diritto soggettivo </w:t>
      </w:r>
      <w:r w:rsidRPr="00E3105A">
        <w:t>”, definito dalla Corte come “ </w:t>
      </w:r>
      <w:r w:rsidRPr="00E3105A">
        <w:rPr>
          <w:i/>
          <w:iCs/>
        </w:rPr>
        <w:t>perfetto </w:t>
      </w:r>
      <w:r w:rsidRPr="00E3105A">
        <w:t>”, e un “ </w:t>
      </w:r>
      <w:r w:rsidRPr="00E3105A">
        <w:rPr>
          <w:i/>
          <w:iCs/>
        </w:rPr>
        <w:t>interesse legittimo </w:t>
      </w:r>
      <w:r w:rsidRPr="00E3105A">
        <w:t xml:space="preserve">”, quando afferma di “non ritenere necessario esaminare se la nozione autonoma di diritto ai sensi dell’articolo 6 § 1 della Convenzione comprenda solo” il primo o anche il secondo (cfr. paragrafo 27 della sentenza). Per quanto convincenti possano </w:t>
      </w:r>
      <w:r w:rsidRPr="00E3105A">
        <w:lastRenderedPageBreak/>
        <w:t xml:space="preserve">essere alcune argomentazioni del signor </w:t>
      </w:r>
      <w:proofErr w:type="spellStart"/>
      <w:r w:rsidRPr="00E3105A">
        <w:t>Mennitto</w:t>
      </w:r>
      <w:proofErr w:type="spellEnd"/>
      <w:r w:rsidRPr="00E3105A">
        <w:t>, resta il fatto che la distinzione esiste nel diritto italiano e che la Corte di Cassazione l’ha affermata. E va sottolineato che, qualunque sia l’opinione della Corte, la giurisprudenza della Corte di Cassazione in caso di conflitti di competenza prevale su quella del Consiglio </w:t>
      </w:r>
      <w:r w:rsidRPr="00E3105A">
        <w:rPr>
          <w:i/>
          <w:iCs/>
        </w:rPr>
        <w:t>di Stato </w:t>
      </w:r>
      <w:r w:rsidRPr="00E3105A">
        <w:t>. </w:t>
      </w:r>
    </w:p>
    <w:p w14:paraId="4A45E1C4" w14:textId="77777777" w:rsidR="00E3105A" w:rsidRPr="00E3105A" w:rsidRDefault="00E3105A" w:rsidP="00E3105A">
      <w:pPr>
        <w:jc w:val="both"/>
      </w:pPr>
      <w:r w:rsidRPr="00E3105A">
        <w:t>Questo approccio va ben oltre l'ambito del caso </w:t>
      </w:r>
      <w:proofErr w:type="spellStart"/>
      <w:r w:rsidRPr="00E3105A">
        <w:rPr>
          <w:i/>
          <w:iCs/>
        </w:rPr>
        <w:t>Mennitto</w:t>
      </w:r>
      <w:proofErr w:type="spellEnd"/>
      <w:r w:rsidRPr="00E3105A">
        <w:rPr>
          <w:i/>
          <w:iCs/>
        </w:rPr>
        <w:t> </w:t>
      </w:r>
      <w:r w:rsidRPr="00E3105A">
        <w:t>, poiché equivale ad estendere la giurisdizione della Corte, e dubito fortemente che questo sia il modo giusto di procedere.</w:t>
      </w:r>
    </w:p>
    <w:sectPr w:rsidR="00E3105A" w:rsidRPr="00E3105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99EF" w14:textId="77777777" w:rsidR="00A72AF1" w:rsidRDefault="00A72AF1" w:rsidP="00E3105A">
      <w:pPr>
        <w:spacing w:after="0" w:line="240" w:lineRule="auto"/>
      </w:pPr>
      <w:r>
        <w:separator/>
      </w:r>
    </w:p>
  </w:endnote>
  <w:endnote w:type="continuationSeparator" w:id="0">
    <w:p w14:paraId="5624FA79" w14:textId="77777777" w:rsidR="00A72AF1" w:rsidRDefault="00A72AF1" w:rsidP="00E3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945543"/>
      <w:docPartObj>
        <w:docPartGallery w:val="Page Numbers (Bottom of Page)"/>
        <w:docPartUnique/>
      </w:docPartObj>
    </w:sdtPr>
    <w:sdtContent>
      <w:p w14:paraId="12AF7741" w14:textId="4979BF0D" w:rsidR="00E3105A" w:rsidRDefault="00E3105A">
        <w:pPr>
          <w:pStyle w:val="Pidipagina"/>
          <w:jc w:val="center"/>
        </w:pPr>
        <w:r>
          <w:fldChar w:fldCharType="begin"/>
        </w:r>
        <w:r>
          <w:instrText>PAGE   \* MERGEFORMAT</w:instrText>
        </w:r>
        <w:r>
          <w:fldChar w:fldCharType="separate"/>
        </w:r>
        <w:r>
          <w:t>2</w:t>
        </w:r>
        <w:r>
          <w:fldChar w:fldCharType="end"/>
        </w:r>
      </w:p>
    </w:sdtContent>
  </w:sdt>
  <w:p w14:paraId="4D833D23" w14:textId="77777777" w:rsidR="00E3105A" w:rsidRDefault="00E310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4614" w14:textId="77777777" w:rsidR="00A72AF1" w:rsidRDefault="00A72AF1" w:rsidP="00E3105A">
      <w:pPr>
        <w:spacing w:after="0" w:line="240" w:lineRule="auto"/>
      </w:pPr>
      <w:r>
        <w:separator/>
      </w:r>
    </w:p>
  </w:footnote>
  <w:footnote w:type="continuationSeparator" w:id="0">
    <w:p w14:paraId="14A1BB1B" w14:textId="77777777" w:rsidR="00A72AF1" w:rsidRDefault="00A72AF1" w:rsidP="00E310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A"/>
    <w:rsid w:val="001656CE"/>
    <w:rsid w:val="003C3531"/>
    <w:rsid w:val="003E30D8"/>
    <w:rsid w:val="0078364A"/>
    <w:rsid w:val="00A72AF1"/>
    <w:rsid w:val="00BB24E6"/>
    <w:rsid w:val="00E3105A"/>
    <w:rsid w:val="00EE4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362"/>
  <w15:chartTrackingRefBased/>
  <w15:docId w15:val="{C07583D8-B1C0-41AD-A079-BDF9C501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10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310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3105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3105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3105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310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10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10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10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105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3105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3105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3105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3105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310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10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10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10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1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10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10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10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10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105A"/>
    <w:rPr>
      <w:i/>
      <w:iCs/>
      <w:color w:val="404040" w:themeColor="text1" w:themeTint="BF"/>
    </w:rPr>
  </w:style>
  <w:style w:type="paragraph" w:styleId="Paragrafoelenco">
    <w:name w:val="List Paragraph"/>
    <w:basedOn w:val="Normale"/>
    <w:uiPriority w:val="34"/>
    <w:qFormat/>
    <w:rsid w:val="00E3105A"/>
    <w:pPr>
      <w:ind w:left="720"/>
      <w:contextualSpacing/>
    </w:pPr>
  </w:style>
  <w:style w:type="character" w:styleId="Enfasiintensa">
    <w:name w:val="Intense Emphasis"/>
    <w:basedOn w:val="Carpredefinitoparagrafo"/>
    <w:uiPriority w:val="21"/>
    <w:qFormat/>
    <w:rsid w:val="00E3105A"/>
    <w:rPr>
      <w:i/>
      <w:iCs/>
      <w:color w:val="2F5496" w:themeColor="accent1" w:themeShade="BF"/>
    </w:rPr>
  </w:style>
  <w:style w:type="paragraph" w:styleId="Citazioneintensa">
    <w:name w:val="Intense Quote"/>
    <w:basedOn w:val="Normale"/>
    <w:next w:val="Normale"/>
    <w:link w:val="CitazioneintensaCarattere"/>
    <w:uiPriority w:val="30"/>
    <w:qFormat/>
    <w:rsid w:val="00E31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3105A"/>
    <w:rPr>
      <w:i/>
      <w:iCs/>
      <w:color w:val="2F5496" w:themeColor="accent1" w:themeShade="BF"/>
    </w:rPr>
  </w:style>
  <w:style w:type="character" w:styleId="Riferimentointenso">
    <w:name w:val="Intense Reference"/>
    <w:basedOn w:val="Carpredefinitoparagrafo"/>
    <w:uiPriority w:val="32"/>
    <w:qFormat/>
    <w:rsid w:val="00E3105A"/>
    <w:rPr>
      <w:b/>
      <w:bCs/>
      <w:smallCaps/>
      <w:color w:val="2F5496" w:themeColor="accent1" w:themeShade="BF"/>
      <w:spacing w:val="5"/>
    </w:rPr>
  </w:style>
  <w:style w:type="character" w:styleId="Collegamentoipertestuale">
    <w:name w:val="Hyperlink"/>
    <w:basedOn w:val="Carpredefinitoparagrafo"/>
    <w:uiPriority w:val="99"/>
    <w:unhideWhenUsed/>
    <w:rsid w:val="00E3105A"/>
    <w:rPr>
      <w:color w:val="0563C1" w:themeColor="hyperlink"/>
      <w:u w:val="single"/>
    </w:rPr>
  </w:style>
  <w:style w:type="character" w:styleId="Menzionenonrisolta">
    <w:name w:val="Unresolved Mention"/>
    <w:basedOn w:val="Carpredefinitoparagrafo"/>
    <w:uiPriority w:val="99"/>
    <w:semiHidden/>
    <w:unhideWhenUsed/>
    <w:rsid w:val="00E3105A"/>
    <w:rPr>
      <w:color w:val="605E5C"/>
      <w:shd w:val="clear" w:color="auto" w:fill="E1DFDD"/>
    </w:rPr>
  </w:style>
  <w:style w:type="paragraph" w:styleId="Intestazione">
    <w:name w:val="header"/>
    <w:basedOn w:val="Normale"/>
    <w:link w:val="IntestazioneCarattere"/>
    <w:uiPriority w:val="99"/>
    <w:unhideWhenUsed/>
    <w:rsid w:val="00E310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105A"/>
  </w:style>
  <w:style w:type="paragraph" w:styleId="Pidipagina">
    <w:name w:val="footer"/>
    <w:basedOn w:val="Normale"/>
    <w:link w:val="PidipaginaCarattere"/>
    <w:uiPriority w:val="99"/>
    <w:unhideWhenUsed/>
    <w:rsid w:val="00E310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1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udoc.echr.coe.int/e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doc.echr.coe.int/e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hudoc.echr.coe.int/eng"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4390</Words>
  <Characters>25028</Characters>
  <Application>Microsoft Office Word</Application>
  <DocSecurity>0</DocSecurity>
  <Lines>208</Lines>
  <Paragraphs>58</Paragraphs>
  <ScaleCrop>false</ScaleCrop>
  <Company>Ministero della Giustizia</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3</cp:revision>
  <dcterms:created xsi:type="dcterms:W3CDTF">2025-11-04T07:52:00Z</dcterms:created>
  <dcterms:modified xsi:type="dcterms:W3CDTF">2025-11-06T10:36:00Z</dcterms:modified>
</cp:coreProperties>
</file>