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5"/>
        <w:gridCol w:w="277"/>
        <w:gridCol w:w="8774"/>
        <w:gridCol w:w="292"/>
      </w:tblGrid>
      <w:tr w:rsidR="00C969C1" w:rsidRPr="00C969C1" w14:paraId="1BA9C6BD" w14:textId="77777777">
        <w:trPr>
          <w:tblCellSpacing w:w="15" w:type="dxa"/>
        </w:trPr>
        <w:tc>
          <w:tcPr>
            <w:tcW w:w="0" w:type="auto"/>
            <w:gridSpan w:val="4"/>
            <w:noWrap/>
            <w:vAlign w:val="center"/>
            <w:hideMark/>
          </w:tcPr>
          <w:p w14:paraId="6F04E23F" w14:textId="77777777" w:rsidR="00C969C1" w:rsidRPr="00C969C1" w:rsidRDefault="00C969C1" w:rsidP="00C969C1">
            <w:r w:rsidRPr="00C969C1">
              <w:rPr>
                <w:b/>
                <w:bCs/>
              </w:rPr>
              <w:t>Corte Suprema di Cassazione</w:t>
            </w:r>
          </w:p>
          <w:p w14:paraId="29687ECD" w14:textId="77777777" w:rsidR="00C969C1" w:rsidRPr="00C969C1" w:rsidRDefault="00C969C1" w:rsidP="00C969C1">
            <w:r w:rsidRPr="00C969C1">
              <w:rPr>
                <w:b/>
                <w:bCs/>
              </w:rPr>
              <w:t>Centro Elettronico di Documentazione</w:t>
            </w:r>
          </w:p>
          <w:p w14:paraId="28D55850" w14:textId="77777777" w:rsidR="00C969C1" w:rsidRPr="00C969C1" w:rsidRDefault="00C969C1" w:rsidP="00C969C1">
            <w:proofErr w:type="spellStart"/>
            <w:r w:rsidRPr="00C969C1">
              <w:rPr>
                <w:b/>
                <w:bCs/>
              </w:rPr>
              <w:t>ItalGiureWeb</w:t>
            </w:r>
            <w:proofErr w:type="spellEnd"/>
            <w:r w:rsidRPr="00C969C1">
              <w:rPr>
                <w:b/>
                <w:bCs/>
              </w:rPr>
              <w:t> - 03/11/25 12:09:28</w:t>
            </w:r>
          </w:p>
        </w:tc>
      </w:tr>
      <w:tr w:rsidR="00C969C1" w:rsidRPr="00C969C1" w14:paraId="21F9A836" w14:textId="77777777">
        <w:trPr>
          <w:tblCellSpacing w:w="15" w:type="dxa"/>
        </w:trPr>
        <w:tc>
          <w:tcPr>
            <w:tcW w:w="0" w:type="auto"/>
            <w:vAlign w:val="center"/>
            <w:hideMark/>
          </w:tcPr>
          <w:p w14:paraId="5B39F3AF" w14:textId="77777777" w:rsidR="00C969C1" w:rsidRPr="00C969C1" w:rsidRDefault="00C969C1" w:rsidP="00C969C1"/>
        </w:tc>
        <w:tc>
          <w:tcPr>
            <w:tcW w:w="0" w:type="auto"/>
            <w:vAlign w:val="center"/>
            <w:hideMark/>
          </w:tcPr>
          <w:p w14:paraId="59467529" w14:textId="77777777" w:rsidR="00C969C1" w:rsidRPr="00C969C1" w:rsidRDefault="00C969C1" w:rsidP="00C969C1"/>
        </w:tc>
        <w:tc>
          <w:tcPr>
            <w:tcW w:w="0" w:type="auto"/>
            <w:vAlign w:val="bottom"/>
            <w:hideMark/>
          </w:tcPr>
          <w:p w14:paraId="7F099802" w14:textId="77777777" w:rsidR="00C969C1" w:rsidRPr="00C969C1" w:rsidRDefault="00C969C1" w:rsidP="00C969C1">
            <w:r w:rsidRPr="00C969C1">
              <w:t>gagul@GS59</w:t>
            </w:r>
          </w:p>
        </w:tc>
        <w:tc>
          <w:tcPr>
            <w:tcW w:w="0" w:type="auto"/>
            <w:vAlign w:val="center"/>
            <w:hideMark/>
          </w:tcPr>
          <w:p w14:paraId="2E197712" w14:textId="77777777" w:rsidR="00C969C1" w:rsidRPr="00C969C1" w:rsidRDefault="00C969C1" w:rsidP="00C969C1"/>
        </w:tc>
      </w:tr>
      <w:tr w:rsidR="00C969C1" w:rsidRPr="00C969C1" w14:paraId="5F17A284" w14:textId="77777777">
        <w:trPr>
          <w:tblCellSpacing w:w="15" w:type="dxa"/>
        </w:trPr>
        <w:tc>
          <w:tcPr>
            <w:tcW w:w="0" w:type="auto"/>
            <w:gridSpan w:val="4"/>
            <w:vAlign w:val="center"/>
            <w:hideMark/>
          </w:tcPr>
          <w:p w14:paraId="01B6DBB7" w14:textId="77777777" w:rsidR="00C969C1" w:rsidRPr="00C969C1" w:rsidRDefault="00C969C1" w:rsidP="00C969C1">
            <w:r w:rsidRPr="00C969C1">
              <w:pict w14:anchorId="66CCE137">
                <v:rect id="_x0000_i1037" style="width:0;height:1.5pt" o:hralign="center" o:hrstd="t" o:hr="t" fillcolor="#a0a0a0" stroked="f"/>
              </w:pict>
            </w:r>
          </w:p>
        </w:tc>
      </w:tr>
    </w:tbl>
    <w:p w14:paraId="28C29426" w14:textId="77777777" w:rsidR="00C969C1" w:rsidRPr="00C969C1" w:rsidRDefault="00C969C1" w:rsidP="00C969C1">
      <w:pPr>
        <w:rPr>
          <w:vanish/>
        </w:rPr>
      </w:pPr>
    </w:p>
    <w:tbl>
      <w:tblPr>
        <w:tblW w:w="5000" w:type="pct"/>
        <w:tblCellSpacing w:w="0" w:type="dxa"/>
        <w:tblCellMar>
          <w:left w:w="0" w:type="dxa"/>
          <w:right w:w="0" w:type="dxa"/>
        </w:tblCellMar>
        <w:tblLook w:val="04A0" w:firstRow="1" w:lastRow="0" w:firstColumn="1" w:lastColumn="0" w:noHBand="0" w:noVBand="1"/>
      </w:tblPr>
      <w:tblGrid>
        <w:gridCol w:w="9638"/>
      </w:tblGrid>
      <w:tr w:rsidR="00C969C1" w:rsidRPr="00C969C1" w14:paraId="105CCA14" w14:textId="77777777">
        <w:trPr>
          <w:tblCellSpacing w:w="0" w:type="dxa"/>
        </w:trPr>
        <w:tc>
          <w:tcPr>
            <w:tcW w:w="0" w:type="auto"/>
            <w:hideMark/>
          </w:tcPr>
          <w:p w14:paraId="42388506" w14:textId="77777777" w:rsidR="00C969C1" w:rsidRPr="00C969C1" w:rsidRDefault="00C969C1" w:rsidP="00C969C1">
            <w:r w:rsidRPr="00C969C1">
              <w:rPr>
                <w:i/>
                <w:iCs/>
              </w:rPr>
              <w:t>Provvedimento del</w:t>
            </w:r>
            <w:r w:rsidRPr="00C969C1">
              <w:t> </w:t>
            </w:r>
            <w:r w:rsidRPr="00C969C1">
              <w:rPr>
                <w:b/>
                <w:bCs/>
              </w:rPr>
              <w:t>14/02/2023</w:t>
            </w:r>
            <w:r w:rsidRPr="00C969C1">
              <w:t> </w:t>
            </w:r>
            <w:r w:rsidRPr="00C969C1">
              <w:rPr>
                <w:i/>
                <w:iCs/>
              </w:rPr>
              <w:t>Grande Camera </w:t>
            </w:r>
          </w:p>
          <w:p w14:paraId="0D540CE7" w14:textId="77777777" w:rsidR="00C969C1" w:rsidRPr="00C969C1" w:rsidRDefault="00C969C1" w:rsidP="00C969C1">
            <w:r w:rsidRPr="00C969C1">
              <w:rPr>
                <w:i/>
                <w:iCs/>
              </w:rPr>
              <w:t>Numero del Ricorso:</w:t>
            </w:r>
            <w:r w:rsidRPr="00C969C1">
              <w:t> 21884/18</w:t>
            </w:r>
          </w:p>
          <w:p w14:paraId="6C7FA599" w14:textId="77777777" w:rsidR="00C969C1" w:rsidRPr="00C969C1" w:rsidRDefault="00C969C1" w:rsidP="00C969C1">
            <w:r w:rsidRPr="00C969C1">
              <w:rPr>
                <w:i/>
                <w:iCs/>
              </w:rPr>
              <w:t>Presidente: </w:t>
            </w:r>
            <w:r w:rsidRPr="00C969C1">
              <w:rPr>
                <w:b/>
                <w:bCs/>
              </w:rPr>
              <w:t>Robert Spano.</w:t>
            </w:r>
            <w:r w:rsidRPr="00C969C1">
              <w:t> </w:t>
            </w:r>
            <w:r w:rsidRPr="00C969C1">
              <w:br/>
            </w:r>
            <w:r w:rsidRPr="00C969C1">
              <w:rPr>
                <w:i/>
                <w:iCs/>
              </w:rPr>
              <w:t>Caso: </w:t>
            </w:r>
            <w:r w:rsidRPr="00C969C1">
              <w:t>HALET </w:t>
            </w:r>
            <w:r w:rsidRPr="00C969C1">
              <w:rPr>
                <w:i/>
                <w:iCs/>
              </w:rPr>
              <w:t>contro</w:t>
            </w:r>
            <w:r w:rsidRPr="00C969C1">
              <w:t> </w:t>
            </w:r>
            <w:r w:rsidRPr="00C969C1">
              <w:rPr>
                <w:b/>
                <w:bCs/>
              </w:rPr>
              <w:t>LUSSEMBURGO.</w:t>
            </w:r>
            <w:r w:rsidRPr="00C969C1">
              <w:t> </w:t>
            </w:r>
          </w:p>
          <w:p w14:paraId="7800DACF" w14:textId="77777777" w:rsidR="00C969C1" w:rsidRPr="00C969C1" w:rsidRDefault="00C969C1" w:rsidP="00C969C1">
            <w:r w:rsidRPr="00C969C1">
              <w:t>Caso di Rilievo</w:t>
            </w:r>
          </w:p>
          <w:p w14:paraId="53D73DB2" w14:textId="77777777" w:rsidR="00C969C1" w:rsidRPr="00C969C1" w:rsidRDefault="00C969C1" w:rsidP="00C969C1">
            <w:r w:rsidRPr="00C969C1">
              <w:rPr>
                <w:b/>
                <w:bCs/>
              </w:rPr>
              <w:t>Sentenza</w:t>
            </w:r>
          </w:p>
          <w:p w14:paraId="0366B14E" w14:textId="77777777" w:rsidR="00C969C1" w:rsidRPr="00C969C1" w:rsidRDefault="00C969C1" w:rsidP="00C969C1">
            <w:r w:rsidRPr="00C969C1">
              <w:t>Riferimento al file originario - </w:t>
            </w:r>
            <w:hyperlink r:id="rId6" w:tgtFrame="_new" w:history="1">
              <w:r w:rsidRPr="00C969C1">
                <w:rPr>
                  <w:rStyle w:val="Collegamentoipertestuale"/>
                </w:rPr>
                <w:t>HALET c. LUSSEMBURGO.docx</w:t>
              </w:r>
            </w:hyperlink>
          </w:p>
          <w:p w14:paraId="15ACB66F" w14:textId="77777777" w:rsidR="00C969C1" w:rsidRPr="00C969C1" w:rsidRDefault="00C969C1" w:rsidP="00C969C1"/>
          <w:p w14:paraId="1DDF838A" w14:textId="77777777" w:rsidR="00C969C1" w:rsidRPr="00C969C1" w:rsidRDefault="00C969C1" w:rsidP="00C969C1">
            <w:r w:rsidRPr="00C969C1">
              <w:t>La presente sentenza è definitiva ma può subire modifiche di forma.</w:t>
            </w:r>
          </w:p>
          <w:p w14:paraId="22C5F5FD" w14:textId="77777777" w:rsidR="00C969C1" w:rsidRPr="00C969C1" w:rsidRDefault="00C969C1" w:rsidP="00C969C1">
            <w:pPr>
              <w:rPr>
                <w:i/>
                <w:iCs/>
              </w:rPr>
            </w:pPr>
            <w:r w:rsidRPr="00C969C1">
              <w:rPr>
                <w:i/>
                <w:iCs/>
              </w:rPr>
              <w:t>Art. 10 • Libertà di espressione • Sanzione pecuniaria penale di EUR 1.000 inflitta per la divulgazione ai media di documenti riservati di un datore di lavoro privato riguardanti le pratiche fiscali di società multinazionali (</w:t>
            </w:r>
            <w:proofErr w:type="spellStart"/>
            <w:r w:rsidRPr="00C969C1">
              <w:rPr>
                <w:i/>
                <w:iCs/>
              </w:rPr>
              <w:t>Luxleaks</w:t>
            </w:r>
            <w:proofErr w:type="spellEnd"/>
            <w:r w:rsidRPr="00C969C1">
              <w:rPr>
                <w:i/>
                <w:iCs/>
              </w:rPr>
              <w:t>) • Consolidamento della precedente giurisprudenza della Corte europea sulla protezione degli autori di segnalazioni di illeciti o irregolarità (</w:t>
            </w:r>
            <w:proofErr w:type="spellStart"/>
            <w:r w:rsidRPr="00C969C1">
              <w:rPr>
                <w:i/>
                <w:iCs/>
              </w:rPr>
              <w:t>whistle-blower</w:t>
            </w:r>
            <w:proofErr w:type="spellEnd"/>
            <w:r w:rsidRPr="00C969C1">
              <w:rPr>
                <w:i/>
                <w:iCs/>
              </w:rPr>
              <w:t xml:space="preserve">) e perfezionamento dei criteri fissati nella sentenza </w:t>
            </w:r>
            <w:proofErr w:type="spellStart"/>
            <w:r w:rsidRPr="00C969C1">
              <w:rPr>
                <w:i/>
                <w:iCs/>
              </w:rPr>
              <w:t>Guja</w:t>
            </w:r>
            <w:proofErr w:type="spellEnd"/>
            <w:r w:rsidRPr="00C969C1">
              <w:rPr>
                <w:i/>
                <w:iCs/>
              </w:rPr>
              <w:t xml:space="preserve"> • Nessuna definizione astratta e generale del concetto di autore di segnalazioni di illeciti o irregolarità • Richiesta di protezione a tale titolo da accogliere a seconda delle circostanze e del contesto di ciascuna causa • Esame complessivo da parte della Corte dei criteri </w:t>
            </w:r>
            <w:proofErr w:type="spellStart"/>
            <w:r w:rsidRPr="00C969C1">
              <w:rPr>
                <w:i/>
                <w:iCs/>
              </w:rPr>
              <w:t>Guja</w:t>
            </w:r>
            <w:proofErr w:type="spellEnd"/>
            <w:r w:rsidRPr="00C969C1">
              <w:rPr>
                <w:i/>
                <w:iCs/>
              </w:rPr>
              <w:t>, considerati separatamente ma senza stabilire una gerarchia o un ordine specifico • Canale scelto per la divulgazione lecito in assenza di condotte illegali da parte del datore di lavoro • Autenticità dei documenti divulgati • Buona fede del ricorrente • Necessario il bilanciamento degli interessi concorrenti in gioco da parte della Grande Camera, poiché l’esercizio di bilanciamento svolto dai tribunali interni non soddisfa i requisiti individuati dalla presente sentenza • Interpretazione eccessivamente restrittiva del pubblico interesse presentato dalle informazioni rivelate che avevano apportato un contributo essenziale a un preesistente dibattito di importanza nazionale ed europea • I tribunali interni hanno tenuto conto soltanto del danno provocato al datore di lavoro • L’interesse pubblico alle rivelazioni prevale sull’insieme degli effetti lesivi, che comprendono il furto dei dati, la violazione del segreto professionale e il pregiudizio recato agli interessi privati dei clienti del datore di lavoro • Carattere sproporzionato della condanna penale</w:t>
            </w:r>
            <w:r w:rsidRPr="00C969C1">
              <w:rPr>
                <w:i/>
                <w:iCs/>
              </w:rPr>
              <w:br/>
            </w:r>
            <w:r w:rsidRPr="00C969C1">
              <w:rPr>
                <w:i/>
                <w:iCs/>
              </w:rPr>
              <w:lastRenderedPageBreak/>
              <w:t>INDICE</w:t>
            </w:r>
            <w:r w:rsidRPr="00C969C1">
              <w:rPr>
                <w:i/>
                <w:iCs/>
              </w:rPr>
              <w:br/>
              <w:t>GRANDE CAMERA1</w:t>
            </w:r>
            <w:r w:rsidRPr="00C969C1">
              <w:rPr>
                <w:i/>
                <w:iCs/>
              </w:rPr>
              <w:br/>
              <w:t>PROCEDURA4</w:t>
            </w:r>
            <w:r w:rsidRPr="00C969C1">
              <w:rPr>
                <w:i/>
                <w:iCs/>
              </w:rPr>
              <w:br/>
              <w:t>IN FATTO6</w:t>
            </w:r>
            <w:r w:rsidRPr="00C969C1">
              <w:rPr>
                <w:i/>
                <w:iCs/>
              </w:rPr>
              <w:br/>
              <w:t>I.LE CIRCOSTANZE DEL CASO DI SPECIE6</w:t>
            </w:r>
            <w:r w:rsidRPr="00C969C1">
              <w:rPr>
                <w:i/>
                <w:iCs/>
              </w:rPr>
              <w:br/>
            </w:r>
            <w:proofErr w:type="spellStart"/>
            <w:r w:rsidRPr="00C969C1">
              <w:rPr>
                <w:i/>
                <w:iCs/>
              </w:rPr>
              <w:t>A.Il</w:t>
            </w:r>
            <w:proofErr w:type="spellEnd"/>
            <w:r w:rsidRPr="00C969C1">
              <w:rPr>
                <w:i/>
                <w:iCs/>
              </w:rPr>
              <w:t xml:space="preserve"> contesto fattuale della causa6</w:t>
            </w:r>
            <w:r w:rsidRPr="00C969C1">
              <w:rPr>
                <w:i/>
                <w:iCs/>
              </w:rPr>
              <w:br/>
              <w:t>B.I procedimenti penali instaurati7</w:t>
            </w:r>
            <w:r w:rsidRPr="00C969C1">
              <w:rPr>
                <w:i/>
                <w:iCs/>
              </w:rPr>
              <w:br/>
              <w:t>1.La sentenza di primo grado7</w:t>
            </w:r>
            <w:r w:rsidRPr="00C969C1">
              <w:rPr>
                <w:i/>
                <w:iCs/>
              </w:rPr>
              <w:br/>
              <w:t>2.Il procedimento dinanzi alla Corte di appello8</w:t>
            </w:r>
            <w:r w:rsidRPr="00C969C1">
              <w:rPr>
                <w:i/>
                <w:iCs/>
              </w:rPr>
              <w:br/>
              <w:t>(a)Le conclusioni della Procura generale8</w:t>
            </w:r>
            <w:r w:rsidRPr="00C969C1">
              <w:rPr>
                <w:i/>
                <w:iCs/>
              </w:rPr>
              <w:br/>
              <w:t>(b)La sentenza della Corte di appello10</w:t>
            </w:r>
            <w:r w:rsidRPr="00C969C1">
              <w:rPr>
                <w:i/>
                <w:iCs/>
              </w:rPr>
              <w:br/>
              <w:t>3.Le sentenze della Corte di cassazione nei confronti di A.D. e del ricorrente, e l’ulteriore procedimento nei confronti di A.D.19</w:t>
            </w:r>
            <w:r w:rsidRPr="00C969C1">
              <w:rPr>
                <w:i/>
                <w:iCs/>
              </w:rPr>
              <w:br/>
              <w:t>(a)La sentenza della Corte di cassazione nei confronti del ricorrente19</w:t>
            </w:r>
            <w:r w:rsidRPr="00C969C1">
              <w:rPr>
                <w:i/>
                <w:iCs/>
              </w:rPr>
              <w:br/>
              <w:t>(b)La sentenza della Corte di cassazione nei confronti di A.D.20</w:t>
            </w:r>
            <w:r w:rsidRPr="00C969C1">
              <w:rPr>
                <w:i/>
                <w:iCs/>
              </w:rPr>
              <w:br/>
              <w:t>(c)La sentenza della corte d’appello nei confronti di A.D emessa a seguito di rinvio21</w:t>
            </w:r>
            <w:r w:rsidRPr="00C969C1">
              <w:rPr>
                <w:i/>
                <w:iCs/>
              </w:rPr>
              <w:br/>
              <w:t>II.IL QUADRO GIURIDICO NAZIONALE E INTERNAZIONALE PERTINENTE21</w:t>
            </w:r>
            <w:r w:rsidRPr="00C969C1">
              <w:rPr>
                <w:i/>
                <w:iCs/>
              </w:rPr>
              <w:br/>
            </w:r>
            <w:proofErr w:type="spellStart"/>
            <w:r w:rsidRPr="00C969C1">
              <w:rPr>
                <w:i/>
                <w:iCs/>
              </w:rPr>
              <w:t>A.Il</w:t>
            </w:r>
            <w:proofErr w:type="spellEnd"/>
            <w:r w:rsidRPr="00C969C1">
              <w:rPr>
                <w:i/>
                <w:iCs/>
              </w:rPr>
              <w:t xml:space="preserve"> diritto interno pertinente21</w:t>
            </w:r>
            <w:r w:rsidRPr="00C969C1">
              <w:rPr>
                <w:i/>
                <w:iCs/>
              </w:rPr>
              <w:br/>
            </w:r>
            <w:proofErr w:type="spellStart"/>
            <w:r w:rsidRPr="00C969C1">
              <w:rPr>
                <w:i/>
                <w:iCs/>
              </w:rPr>
              <w:t>B.Il</w:t>
            </w:r>
            <w:proofErr w:type="spellEnd"/>
            <w:r w:rsidRPr="00C969C1">
              <w:rPr>
                <w:i/>
                <w:iCs/>
              </w:rPr>
              <w:t xml:space="preserve"> diritto internazionale ed europeo23</w:t>
            </w:r>
            <w:r w:rsidRPr="00C969C1">
              <w:rPr>
                <w:i/>
                <w:iCs/>
              </w:rPr>
              <w:br/>
              <w:t>1.Gli strumenti internazionali23</w:t>
            </w:r>
            <w:r w:rsidRPr="00C969C1">
              <w:rPr>
                <w:i/>
                <w:iCs/>
              </w:rPr>
              <w:br/>
              <w:t>2.I testi adottati dal Consiglio d’Europa24</w:t>
            </w:r>
            <w:r w:rsidRPr="00C969C1">
              <w:rPr>
                <w:i/>
                <w:iCs/>
              </w:rPr>
              <w:br/>
              <w:t>3.La direttiva europea riguardante la protezione delle persone che segnalano violazioni del diritto dell’Unione26</w:t>
            </w:r>
            <w:r w:rsidRPr="00C969C1">
              <w:rPr>
                <w:i/>
                <w:iCs/>
              </w:rPr>
              <w:br/>
              <w:t>IN DIRITTO31</w:t>
            </w:r>
            <w:r w:rsidRPr="00C969C1">
              <w:rPr>
                <w:i/>
                <w:iCs/>
              </w:rPr>
              <w:br/>
              <w:t>I.SULLA DEDOTTA VIOLAZIONE DELL’ARTICOLO 10 DELLA CONVENZIONE31</w:t>
            </w:r>
            <w:r w:rsidRPr="00C969C1">
              <w:rPr>
                <w:i/>
                <w:iCs/>
              </w:rPr>
              <w:br/>
            </w:r>
            <w:proofErr w:type="spellStart"/>
            <w:r w:rsidRPr="00C969C1">
              <w:rPr>
                <w:i/>
                <w:iCs/>
              </w:rPr>
              <w:t>A.La</w:t>
            </w:r>
            <w:proofErr w:type="spellEnd"/>
            <w:r w:rsidRPr="00C969C1">
              <w:rPr>
                <w:i/>
                <w:iCs/>
              </w:rPr>
              <w:t xml:space="preserve"> sentenza della Camera32</w:t>
            </w:r>
            <w:r w:rsidRPr="00C969C1">
              <w:rPr>
                <w:i/>
                <w:iCs/>
              </w:rPr>
              <w:br/>
            </w:r>
            <w:proofErr w:type="spellStart"/>
            <w:r w:rsidRPr="00C969C1">
              <w:rPr>
                <w:i/>
                <w:iCs/>
              </w:rPr>
              <w:t>B.Le</w:t>
            </w:r>
            <w:proofErr w:type="spellEnd"/>
            <w:r w:rsidRPr="00C969C1">
              <w:rPr>
                <w:i/>
                <w:iCs/>
              </w:rPr>
              <w:t xml:space="preserve"> osservazioni delle parti33</w:t>
            </w:r>
            <w:r w:rsidRPr="00C969C1">
              <w:rPr>
                <w:i/>
                <w:iCs/>
              </w:rPr>
              <w:br/>
              <w:t>1.Le osservazioni del ricorrente33</w:t>
            </w:r>
            <w:r w:rsidRPr="00C969C1">
              <w:rPr>
                <w:i/>
                <w:iCs/>
              </w:rPr>
              <w:br/>
              <w:t>2.Le osservazioni del Governo37</w:t>
            </w:r>
            <w:r w:rsidRPr="00C969C1">
              <w:rPr>
                <w:i/>
                <w:iCs/>
              </w:rPr>
              <w:br/>
            </w:r>
            <w:proofErr w:type="spellStart"/>
            <w:r w:rsidRPr="00C969C1">
              <w:rPr>
                <w:i/>
                <w:iCs/>
              </w:rPr>
              <w:t>C.Le</w:t>
            </w:r>
            <w:proofErr w:type="spellEnd"/>
            <w:r w:rsidRPr="00C969C1">
              <w:rPr>
                <w:i/>
                <w:iCs/>
              </w:rPr>
              <w:t xml:space="preserve"> osservazioni dei terzi intervenienti43</w:t>
            </w:r>
            <w:r w:rsidRPr="00C969C1">
              <w:rPr>
                <w:i/>
                <w:iCs/>
              </w:rPr>
              <w:br/>
              <w:t xml:space="preserve">1.Maison </w:t>
            </w:r>
            <w:proofErr w:type="spellStart"/>
            <w:r w:rsidRPr="00C969C1">
              <w:rPr>
                <w:i/>
                <w:iCs/>
              </w:rPr>
              <w:t>des</w:t>
            </w:r>
            <w:proofErr w:type="spellEnd"/>
            <w:r w:rsidRPr="00C969C1">
              <w:rPr>
                <w:i/>
                <w:iCs/>
              </w:rPr>
              <w:t xml:space="preserve"> </w:t>
            </w:r>
            <w:proofErr w:type="spellStart"/>
            <w:r w:rsidRPr="00C969C1">
              <w:rPr>
                <w:i/>
                <w:iCs/>
              </w:rPr>
              <w:t>Lanceurs</w:t>
            </w:r>
            <w:proofErr w:type="spellEnd"/>
            <w:r w:rsidRPr="00C969C1">
              <w:rPr>
                <w:i/>
                <w:iCs/>
              </w:rPr>
              <w:t xml:space="preserve"> d’alerte (in prosieguo, “la MLA”)43</w:t>
            </w:r>
            <w:r w:rsidRPr="00C969C1">
              <w:rPr>
                <w:i/>
                <w:iCs/>
              </w:rPr>
              <w:br/>
              <w:t>2.Media Defence44</w:t>
            </w:r>
            <w:r w:rsidRPr="00C969C1">
              <w:rPr>
                <w:i/>
                <w:iCs/>
              </w:rPr>
              <w:br/>
              <w:t xml:space="preserve">3.Whistleblower </w:t>
            </w:r>
            <w:proofErr w:type="spellStart"/>
            <w:r w:rsidRPr="00C969C1">
              <w:rPr>
                <w:i/>
                <w:iCs/>
              </w:rPr>
              <w:t>Netzwerk</w:t>
            </w:r>
            <w:proofErr w:type="spellEnd"/>
            <w:r w:rsidRPr="00C969C1">
              <w:rPr>
                <w:i/>
                <w:iCs/>
              </w:rPr>
              <w:t xml:space="preserve"> E.V. (WBN)45</w:t>
            </w:r>
            <w:r w:rsidRPr="00C969C1">
              <w:rPr>
                <w:i/>
                <w:iCs/>
              </w:rPr>
              <w:br/>
            </w:r>
            <w:proofErr w:type="spellStart"/>
            <w:r w:rsidRPr="00C969C1">
              <w:rPr>
                <w:i/>
                <w:iCs/>
              </w:rPr>
              <w:t>D.La</w:t>
            </w:r>
            <w:proofErr w:type="spellEnd"/>
            <w:r w:rsidRPr="00C969C1">
              <w:rPr>
                <w:i/>
                <w:iCs/>
              </w:rPr>
              <w:t xml:space="preserve"> valutazione della Corte45</w:t>
            </w:r>
            <w:r w:rsidRPr="00C969C1">
              <w:rPr>
                <w:i/>
                <w:iCs/>
              </w:rPr>
              <w:br/>
              <w:t>1.I principi generali fissati dalla giurisprudenza della Corte46</w:t>
            </w:r>
            <w:r w:rsidRPr="00C969C1">
              <w:rPr>
                <w:i/>
                <w:iCs/>
              </w:rPr>
              <w:br/>
              <w:t>(a)I principi generali concernenti il diritto alla libertà di espressione nell’ambito dei rapporti professionali46</w:t>
            </w:r>
            <w:r w:rsidRPr="00C969C1">
              <w:rPr>
                <w:i/>
                <w:iCs/>
              </w:rPr>
              <w:br/>
              <w:t xml:space="preserve">(b)I criteri </w:t>
            </w:r>
            <w:proofErr w:type="spellStart"/>
            <w:r w:rsidRPr="00C969C1">
              <w:rPr>
                <w:i/>
                <w:iCs/>
              </w:rPr>
              <w:t>Guja</w:t>
            </w:r>
            <w:proofErr w:type="spellEnd"/>
            <w:r w:rsidRPr="00C969C1">
              <w:rPr>
                <w:i/>
                <w:iCs/>
              </w:rPr>
              <w:t xml:space="preserve"> e le modalità della loro applicazione49</w:t>
            </w:r>
            <w:r w:rsidRPr="00C969C1">
              <w:rPr>
                <w:i/>
                <w:iCs/>
              </w:rPr>
              <w:br/>
              <w:t>(i)I canali utilizzati per la divulgazione50</w:t>
            </w:r>
            <w:r w:rsidRPr="00C969C1">
              <w:rPr>
                <w:i/>
                <w:iCs/>
              </w:rPr>
              <w:br/>
              <w:t>(ii)L’autenticità delle informazioni divulgate51</w:t>
            </w:r>
            <w:r w:rsidRPr="00C969C1">
              <w:rPr>
                <w:i/>
                <w:iCs/>
              </w:rPr>
              <w:br/>
              <w:t>(iii)La buona fede52</w:t>
            </w:r>
            <w:r w:rsidRPr="00C969C1">
              <w:rPr>
                <w:i/>
                <w:iCs/>
              </w:rPr>
              <w:br/>
            </w:r>
            <w:r w:rsidRPr="00C969C1">
              <w:rPr>
                <w:i/>
                <w:iCs/>
              </w:rPr>
              <w:lastRenderedPageBreak/>
              <w:t>(iv)L’interesse pubblico che presentano le informazioni divulgate53</w:t>
            </w:r>
            <w:r w:rsidRPr="00C969C1">
              <w:rPr>
                <w:i/>
                <w:iCs/>
              </w:rPr>
              <w:br/>
              <w:t>(v)Il danno provocato56</w:t>
            </w:r>
            <w:r w:rsidRPr="00C969C1">
              <w:rPr>
                <w:i/>
                <w:iCs/>
              </w:rPr>
              <w:br/>
              <w:t>(vi)La severità della sanzione57</w:t>
            </w:r>
            <w:r w:rsidRPr="00C969C1">
              <w:rPr>
                <w:i/>
                <w:iCs/>
              </w:rPr>
              <w:br/>
              <w:t>2.L’applicazione di tali principi al caso di specie59</w:t>
            </w:r>
            <w:r w:rsidRPr="00C969C1">
              <w:rPr>
                <w:i/>
                <w:iCs/>
              </w:rPr>
              <w:br/>
              <w:t>(a)Considerazioni preliminari59</w:t>
            </w:r>
            <w:r w:rsidRPr="00C969C1">
              <w:rPr>
                <w:i/>
                <w:iCs/>
              </w:rPr>
              <w:br/>
              <w:t>(b)La valutazione dei fatti effettuata dalla Corte di appello60</w:t>
            </w:r>
            <w:r w:rsidRPr="00C969C1">
              <w:rPr>
                <w:i/>
                <w:iCs/>
              </w:rPr>
              <w:br/>
              <w:t>(i)Il controllo sussidiario esercitato dalla Corte60</w:t>
            </w:r>
            <w:r w:rsidRPr="00C969C1">
              <w:rPr>
                <w:i/>
                <w:iCs/>
              </w:rPr>
              <w:br/>
              <w:t>(ii)Il riconoscimento da parte della Corte di appello dell’effetto diretto della Convenzione61</w:t>
            </w:r>
            <w:r w:rsidRPr="00C969C1">
              <w:rPr>
                <w:i/>
                <w:iCs/>
              </w:rPr>
              <w:br/>
              <w:t>(iii)L’applicazione da parte delle Corte di appello dei criteri Guja62</w:t>
            </w:r>
            <w:r w:rsidRPr="00C969C1">
              <w:rPr>
                <w:i/>
                <w:iCs/>
              </w:rPr>
              <w:br/>
              <w:t>(α)L’eventuale esistenza di altri canali che consentivano la divulgazione63</w:t>
            </w:r>
            <w:r w:rsidRPr="00C969C1">
              <w:rPr>
                <w:i/>
                <w:iCs/>
              </w:rPr>
              <w:br/>
              <w:t>(β)L’autenticità delle informazioni divulgate64</w:t>
            </w:r>
            <w:r w:rsidRPr="00C969C1">
              <w:rPr>
                <w:i/>
                <w:iCs/>
              </w:rPr>
              <w:br/>
              <w:t>(γ)La buona fede del ricorrente64</w:t>
            </w:r>
            <w:r w:rsidRPr="00C969C1">
              <w:rPr>
                <w:i/>
                <w:iCs/>
              </w:rPr>
              <w:br/>
              <w:t>(δ)Il bilanciamento tra l’interesse pubblico presentato dalle informazioni divulgate e gli effetti lesivi della divulgazione64</w:t>
            </w:r>
            <w:r w:rsidRPr="00C969C1">
              <w:rPr>
                <w:i/>
                <w:iCs/>
              </w:rPr>
              <w:br/>
              <w:t>‒Il contesto dell’impugnata divulgazione65</w:t>
            </w:r>
            <w:r w:rsidRPr="00C969C1">
              <w:rPr>
                <w:i/>
                <w:iCs/>
              </w:rPr>
              <w:br/>
              <w:t>‒L’interesse pubblico presentato dalle informazioni divulgate66</w:t>
            </w:r>
            <w:r w:rsidRPr="00C969C1">
              <w:rPr>
                <w:i/>
                <w:iCs/>
              </w:rPr>
              <w:br/>
              <w:t>‒Gli effetti lesivi69</w:t>
            </w:r>
            <w:r w:rsidRPr="00C969C1">
              <w:rPr>
                <w:i/>
                <w:iCs/>
              </w:rPr>
              <w:br/>
              <w:t>‒L’esito dell’esercizio di bilanciamento71</w:t>
            </w:r>
            <w:r w:rsidRPr="00C969C1">
              <w:rPr>
                <w:i/>
                <w:iCs/>
              </w:rPr>
              <w:br/>
              <w:t>(ε)La severità della sanzione72</w:t>
            </w:r>
            <w:r w:rsidRPr="00C969C1">
              <w:rPr>
                <w:i/>
                <w:iCs/>
              </w:rPr>
              <w:br/>
              <w:t>(c)Conclusione72</w:t>
            </w:r>
            <w:r w:rsidRPr="00C969C1">
              <w:rPr>
                <w:i/>
                <w:iCs/>
              </w:rPr>
              <w:br/>
              <w:t>II.SULL’APPLICAZIONE DELL’ARTICOLO 41 DELLA CONVENZIONE72</w:t>
            </w:r>
            <w:r w:rsidRPr="00C969C1">
              <w:rPr>
                <w:i/>
                <w:iCs/>
              </w:rPr>
              <w:br/>
              <w:t>A.Danno73</w:t>
            </w:r>
            <w:r w:rsidRPr="00C969C1">
              <w:rPr>
                <w:i/>
                <w:iCs/>
              </w:rPr>
              <w:br/>
              <w:t>B.Spese73</w:t>
            </w:r>
            <w:r w:rsidRPr="00C969C1">
              <w:rPr>
                <w:i/>
                <w:iCs/>
              </w:rPr>
              <w:br/>
              <w:t>DISPOSITIVO73</w:t>
            </w:r>
            <w:r w:rsidRPr="00C969C1">
              <w:rPr>
                <w:i/>
                <w:iCs/>
              </w:rPr>
              <w:br/>
              <w:t>OPINIONE DISSENZIENTE COMUNE AI GIUDICI RAVARANI, MOUROU-VIKSTRÖM, CHANTURIA E SABATO………………….75</w:t>
            </w:r>
            <w:r w:rsidRPr="00C969C1">
              <w:rPr>
                <w:i/>
                <w:iCs/>
              </w:rPr>
              <w:br/>
              <w:t>DICHIARAZIONE DI DISSENSO DEL GIUDICE KJØLBRO85</w:t>
            </w:r>
            <w:r w:rsidRPr="00C969C1">
              <w:rPr>
                <w:i/>
                <w:iCs/>
              </w:rPr>
              <w:br/>
            </w:r>
            <w:r w:rsidRPr="00C969C1">
              <w:rPr>
                <w:i/>
                <w:iCs/>
              </w:rPr>
              <w:t> </w:t>
            </w:r>
            <w:r w:rsidRPr="00C969C1">
              <w:rPr>
                <w:i/>
                <w:iCs/>
              </w:rPr>
              <w:br/>
              <w:t>Nella causa </w:t>
            </w:r>
            <w:bookmarkStart w:id="0" w:name="hitd0p24"/>
            <w:proofErr w:type="spellStart"/>
            <w:r w:rsidRPr="00C969C1">
              <w:rPr>
                <w:i/>
                <w:iCs/>
              </w:rPr>
              <w:t>Halet</w:t>
            </w:r>
            <w:bookmarkEnd w:id="0"/>
            <w:proofErr w:type="spellEnd"/>
            <w:r w:rsidRPr="00C969C1">
              <w:rPr>
                <w:i/>
                <w:iCs/>
              </w:rPr>
              <w:t> c. </w:t>
            </w:r>
            <w:bookmarkStart w:id="1" w:name="hitd0p28"/>
            <w:r w:rsidRPr="00C969C1">
              <w:rPr>
                <w:i/>
                <w:iCs/>
              </w:rPr>
              <w:t>Lussemburgo</w:t>
            </w:r>
            <w:bookmarkEnd w:id="1"/>
            <w:r w:rsidRPr="00C969C1">
              <w:rPr>
                <w:i/>
                <w:iCs/>
              </w:rPr>
              <w:t>,</w:t>
            </w:r>
            <w:r w:rsidRPr="00C969C1">
              <w:rPr>
                <w:i/>
                <w:iCs/>
              </w:rPr>
              <w:br/>
              <w:t>la Corte europea dei diritti dell’uomo, riunita in una Grande Camera composta da:</w:t>
            </w:r>
            <w:r w:rsidRPr="00C969C1">
              <w:rPr>
                <w:i/>
                <w:iCs/>
              </w:rPr>
              <w:br/>
              <w:t>Robert Spano, Presidente</w:t>
            </w:r>
            <w:r w:rsidRPr="00C969C1">
              <w:rPr>
                <w:i/>
                <w:iCs/>
              </w:rPr>
              <w:br/>
            </w:r>
            <w:proofErr w:type="spellStart"/>
            <w:r w:rsidRPr="00C969C1">
              <w:rPr>
                <w:i/>
                <w:iCs/>
              </w:rPr>
              <w:t>Jon</w:t>
            </w:r>
            <w:proofErr w:type="spellEnd"/>
            <w:r w:rsidRPr="00C969C1">
              <w:rPr>
                <w:i/>
                <w:iCs/>
              </w:rPr>
              <w:t xml:space="preserve"> </w:t>
            </w:r>
            <w:proofErr w:type="spellStart"/>
            <w:r w:rsidRPr="00C969C1">
              <w:rPr>
                <w:i/>
                <w:iCs/>
              </w:rPr>
              <w:t>Fridrik</w:t>
            </w:r>
            <w:proofErr w:type="spellEnd"/>
            <w:r w:rsidRPr="00C969C1">
              <w:rPr>
                <w:i/>
                <w:iCs/>
              </w:rPr>
              <w:t xml:space="preserve"> </w:t>
            </w:r>
            <w:proofErr w:type="spellStart"/>
            <w:r w:rsidRPr="00C969C1">
              <w:rPr>
                <w:i/>
                <w:iCs/>
              </w:rPr>
              <w:t>Kjølbro</w:t>
            </w:r>
            <w:proofErr w:type="spellEnd"/>
            <w:r w:rsidRPr="00C969C1">
              <w:rPr>
                <w:i/>
                <w:iCs/>
              </w:rPr>
              <w:t>,</w:t>
            </w:r>
            <w:r w:rsidRPr="00C969C1">
              <w:rPr>
                <w:i/>
                <w:iCs/>
              </w:rPr>
              <w:br/>
            </w:r>
            <w:proofErr w:type="spellStart"/>
            <w:r w:rsidRPr="00C969C1">
              <w:rPr>
                <w:i/>
                <w:iCs/>
              </w:rPr>
              <w:t>Síofra</w:t>
            </w:r>
            <w:proofErr w:type="spellEnd"/>
            <w:r w:rsidRPr="00C969C1">
              <w:rPr>
                <w:i/>
                <w:iCs/>
              </w:rPr>
              <w:t xml:space="preserve"> O’Leary,</w:t>
            </w:r>
            <w:r w:rsidRPr="00C969C1">
              <w:rPr>
                <w:i/>
                <w:iCs/>
              </w:rPr>
              <w:br/>
              <w:t xml:space="preserve">Georges </w:t>
            </w:r>
            <w:proofErr w:type="spellStart"/>
            <w:r w:rsidRPr="00C969C1">
              <w:rPr>
                <w:i/>
                <w:iCs/>
              </w:rPr>
              <w:t>Ravarani</w:t>
            </w:r>
            <w:proofErr w:type="spellEnd"/>
            <w:r w:rsidRPr="00C969C1">
              <w:rPr>
                <w:i/>
                <w:iCs/>
              </w:rPr>
              <w:t>,</w:t>
            </w:r>
            <w:r w:rsidRPr="00C969C1">
              <w:rPr>
                <w:i/>
                <w:iCs/>
              </w:rPr>
              <w:br/>
            </w:r>
            <w:proofErr w:type="spellStart"/>
            <w:r w:rsidRPr="00C969C1">
              <w:rPr>
                <w:i/>
                <w:iCs/>
              </w:rPr>
              <w:t>Yonko</w:t>
            </w:r>
            <w:proofErr w:type="spellEnd"/>
            <w:r w:rsidRPr="00C969C1">
              <w:rPr>
                <w:i/>
                <w:iCs/>
              </w:rPr>
              <w:t xml:space="preserve"> </w:t>
            </w:r>
            <w:proofErr w:type="spellStart"/>
            <w:r w:rsidRPr="00C969C1">
              <w:rPr>
                <w:i/>
                <w:iCs/>
              </w:rPr>
              <w:t>Grozev</w:t>
            </w:r>
            <w:proofErr w:type="spellEnd"/>
            <w:r w:rsidRPr="00C969C1">
              <w:rPr>
                <w:i/>
                <w:iCs/>
              </w:rPr>
              <w:t>,</w:t>
            </w:r>
            <w:r w:rsidRPr="00C969C1">
              <w:rPr>
                <w:i/>
                <w:iCs/>
              </w:rPr>
              <w:br/>
            </w:r>
            <w:proofErr w:type="spellStart"/>
            <w:r w:rsidRPr="00C969C1">
              <w:rPr>
                <w:i/>
                <w:iCs/>
              </w:rPr>
              <w:t>Mārtiņš</w:t>
            </w:r>
            <w:proofErr w:type="spellEnd"/>
            <w:r w:rsidRPr="00C969C1">
              <w:rPr>
                <w:i/>
                <w:iCs/>
              </w:rPr>
              <w:t xml:space="preserve"> </w:t>
            </w:r>
            <w:proofErr w:type="spellStart"/>
            <w:r w:rsidRPr="00C969C1">
              <w:rPr>
                <w:i/>
                <w:iCs/>
              </w:rPr>
              <w:t>Mits</w:t>
            </w:r>
            <w:proofErr w:type="spellEnd"/>
            <w:r w:rsidRPr="00C969C1">
              <w:rPr>
                <w:i/>
                <w:iCs/>
              </w:rPr>
              <w:t>,</w:t>
            </w:r>
            <w:r w:rsidRPr="00C969C1">
              <w:rPr>
                <w:i/>
                <w:iCs/>
              </w:rPr>
              <w:br/>
              <w:t xml:space="preserve">Stéphanie </w:t>
            </w:r>
            <w:proofErr w:type="spellStart"/>
            <w:r w:rsidRPr="00C969C1">
              <w:rPr>
                <w:i/>
                <w:iCs/>
              </w:rPr>
              <w:t>Mourou-Vikström</w:t>
            </w:r>
            <w:proofErr w:type="spellEnd"/>
            <w:r w:rsidRPr="00C969C1">
              <w:rPr>
                <w:i/>
                <w:iCs/>
              </w:rPr>
              <w:t>,</w:t>
            </w:r>
            <w:r w:rsidRPr="00C969C1">
              <w:rPr>
                <w:i/>
                <w:iCs/>
              </w:rPr>
              <w:br/>
            </w:r>
            <w:proofErr w:type="spellStart"/>
            <w:r w:rsidRPr="00C969C1">
              <w:rPr>
                <w:i/>
                <w:iCs/>
              </w:rPr>
              <w:t>Pauliine</w:t>
            </w:r>
            <w:proofErr w:type="spellEnd"/>
            <w:r w:rsidRPr="00C969C1">
              <w:rPr>
                <w:i/>
                <w:iCs/>
              </w:rPr>
              <w:t xml:space="preserve"> </w:t>
            </w:r>
            <w:proofErr w:type="spellStart"/>
            <w:r w:rsidRPr="00C969C1">
              <w:rPr>
                <w:i/>
                <w:iCs/>
              </w:rPr>
              <w:t>Koskelo</w:t>
            </w:r>
            <w:proofErr w:type="spellEnd"/>
            <w:r w:rsidRPr="00C969C1">
              <w:rPr>
                <w:i/>
                <w:iCs/>
              </w:rPr>
              <w:t>,</w:t>
            </w:r>
            <w:r w:rsidRPr="00C969C1">
              <w:rPr>
                <w:i/>
                <w:iCs/>
              </w:rPr>
              <w:br/>
              <w:t xml:space="preserve">Tim </w:t>
            </w:r>
            <w:proofErr w:type="spellStart"/>
            <w:r w:rsidRPr="00C969C1">
              <w:rPr>
                <w:i/>
                <w:iCs/>
              </w:rPr>
              <w:t>Eicke</w:t>
            </w:r>
            <w:proofErr w:type="spellEnd"/>
            <w:r w:rsidRPr="00C969C1">
              <w:rPr>
                <w:i/>
                <w:iCs/>
              </w:rPr>
              <w:t>,</w:t>
            </w:r>
            <w:r w:rsidRPr="00C969C1">
              <w:rPr>
                <w:i/>
                <w:iCs/>
              </w:rPr>
              <w:br/>
              <w:t xml:space="preserve">Péter </w:t>
            </w:r>
            <w:proofErr w:type="spellStart"/>
            <w:r w:rsidRPr="00C969C1">
              <w:rPr>
                <w:i/>
                <w:iCs/>
              </w:rPr>
              <w:t>Paczolay</w:t>
            </w:r>
            <w:proofErr w:type="spellEnd"/>
            <w:r w:rsidRPr="00C969C1">
              <w:rPr>
                <w:i/>
                <w:iCs/>
              </w:rPr>
              <w:t>,</w:t>
            </w:r>
            <w:r w:rsidRPr="00C969C1">
              <w:rPr>
                <w:i/>
                <w:iCs/>
              </w:rPr>
              <w:br/>
              <w:t xml:space="preserve">Lado </w:t>
            </w:r>
            <w:proofErr w:type="spellStart"/>
            <w:r w:rsidRPr="00C969C1">
              <w:rPr>
                <w:i/>
                <w:iCs/>
              </w:rPr>
              <w:t>Chanturia</w:t>
            </w:r>
            <w:proofErr w:type="spellEnd"/>
            <w:r w:rsidRPr="00C969C1">
              <w:rPr>
                <w:i/>
                <w:iCs/>
              </w:rPr>
              <w:t>,</w:t>
            </w:r>
            <w:r w:rsidRPr="00C969C1">
              <w:rPr>
                <w:i/>
                <w:iCs/>
              </w:rPr>
              <w:br/>
            </w:r>
            <w:r w:rsidRPr="00C969C1">
              <w:rPr>
                <w:i/>
                <w:iCs/>
              </w:rPr>
              <w:lastRenderedPageBreak/>
              <w:t xml:space="preserve">Ivana </w:t>
            </w:r>
            <w:proofErr w:type="spellStart"/>
            <w:r w:rsidRPr="00C969C1">
              <w:rPr>
                <w:i/>
                <w:iCs/>
              </w:rPr>
              <w:t>Jelić</w:t>
            </w:r>
            <w:proofErr w:type="spellEnd"/>
            <w:r w:rsidRPr="00C969C1">
              <w:rPr>
                <w:i/>
                <w:iCs/>
              </w:rPr>
              <w:t>,</w:t>
            </w:r>
            <w:r w:rsidRPr="00C969C1">
              <w:rPr>
                <w:i/>
                <w:iCs/>
              </w:rPr>
              <w:br/>
            </w:r>
            <w:proofErr w:type="spellStart"/>
            <w:r w:rsidRPr="00C969C1">
              <w:rPr>
                <w:i/>
                <w:iCs/>
              </w:rPr>
              <w:t>Arnfinn</w:t>
            </w:r>
            <w:proofErr w:type="spellEnd"/>
            <w:r w:rsidRPr="00C969C1">
              <w:rPr>
                <w:i/>
                <w:iCs/>
              </w:rPr>
              <w:t xml:space="preserve"> </w:t>
            </w:r>
            <w:proofErr w:type="spellStart"/>
            <w:r w:rsidRPr="00C969C1">
              <w:rPr>
                <w:i/>
                <w:iCs/>
              </w:rPr>
              <w:t>Bårdsen</w:t>
            </w:r>
            <w:proofErr w:type="spellEnd"/>
            <w:r w:rsidRPr="00C969C1">
              <w:rPr>
                <w:i/>
                <w:iCs/>
              </w:rPr>
              <w:t>,</w:t>
            </w:r>
            <w:r w:rsidRPr="00C969C1">
              <w:rPr>
                <w:i/>
                <w:iCs/>
              </w:rPr>
              <w:br/>
              <w:t>Raffaele Sabato,</w:t>
            </w:r>
            <w:r w:rsidRPr="00C969C1">
              <w:rPr>
                <w:i/>
                <w:iCs/>
              </w:rPr>
              <w:br/>
              <w:t xml:space="preserve">Mattias </w:t>
            </w:r>
            <w:proofErr w:type="spellStart"/>
            <w:r w:rsidRPr="00C969C1">
              <w:rPr>
                <w:i/>
                <w:iCs/>
              </w:rPr>
              <w:t>Guyomar</w:t>
            </w:r>
            <w:proofErr w:type="spellEnd"/>
            <w:r w:rsidRPr="00C969C1">
              <w:rPr>
                <w:i/>
                <w:iCs/>
              </w:rPr>
              <w:t>,</w:t>
            </w:r>
            <w:r w:rsidRPr="00C969C1">
              <w:rPr>
                <w:i/>
                <w:iCs/>
              </w:rPr>
              <w:br/>
              <w:t xml:space="preserve">Ioannis </w:t>
            </w:r>
            <w:proofErr w:type="spellStart"/>
            <w:r w:rsidRPr="00C969C1">
              <w:rPr>
                <w:i/>
                <w:iCs/>
              </w:rPr>
              <w:t>Ktistakis</w:t>
            </w:r>
            <w:proofErr w:type="spellEnd"/>
            <w:r w:rsidRPr="00C969C1">
              <w:rPr>
                <w:i/>
                <w:iCs/>
              </w:rPr>
              <w:t>,</w:t>
            </w:r>
            <w:r w:rsidRPr="00C969C1">
              <w:rPr>
                <w:i/>
                <w:iCs/>
              </w:rPr>
              <w:br/>
              <w:t xml:space="preserve">Andreas </w:t>
            </w:r>
            <w:proofErr w:type="spellStart"/>
            <w:r w:rsidRPr="00C969C1">
              <w:rPr>
                <w:i/>
                <w:iCs/>
              </w:rPr>
              <w:t>Zünd</w:t>
            </w:r>
            <w:proofErr w:type="spellEnd"/>
            <w:r w:rsidRPr="00C969C1">
              <w:rPr>
                <w:i/>
                <w:iCs/>
              </w:rPr>
              <w:t>, giudici,</w:t>
            </w:r>
            <w:r w:rsidRPr="00C969C1">
              <w:rPr>
                <w:i/>
                <w:iCs/>
              </w:rPr>
              <w:br/>
              <w:t>e Abel Campos, cancelliere aggiunto,</w:t>
            </w:r>
            <w:r w:rsidRPr="00C969C1">
              <w:rPr>
                <w:i/>
                <w:iCs/>
              </w:rPr>
              <w:br/>
              <w:t>dopo aver deliberato in camera di consiglio in data 2 febbraio e 5 ottobre 2022, pronuncia la seguente sentenza adottata nell'ultima data menzionata:</w:t>
            </w:r>
          </w:p>
          <w:p w14:paraId="1F7AAEDF" w14:textId="77777777" w:rsidR="00C969C1" w:rsidRPr="00C969C1" w:rsidRDefault="00C969C1" w:rsidP="00C969C1">
            <w:pPr>
              <w:rPr>
                <w:i/>
                <w:iCs/>
              </w:rPr>
            </w:pPr>
            <w:r w:rsidRPr="00C969C1">
              <w:rPr>
                <w:i/>
                <w:iCs/>
              </w:rPr>
              <w:t>PROCEDURA</w:t>
            </w:r>
            <w:r w:rsidRPr="00C969C1">
              <w:rPr>
                <w:i/>
                <w:iCs/>
              </w:rPr>
              <w:br/>
              <w:t>1. All’origine della causa vi è un ricorso (n. 21884/18) proposto contro il Granducato di </w:t>
            </w:r>
            <w:bookmarkStart w:id="2" w:name="hitd0p34"/>
            <w:r w:rsidRPr="00C969C1">
              <w:rPr>
                <w:i/>
                <w:iCs/>
              </w:rPr>
              <w:t>Lussemburgo</w:t>
            </w:r>
            <w:bookmarkEnd w:id="2"/>
            <w:r w:rsidRPr="00C969C1">
              <w:rPr>
                <w:i/>
                <w:iCs/>
              </w:rPr>
              <w:t> con il quale un cittadino francese, il sig. Raphaël </w:t>
            </w:r>
            <w:bookmarkStart w:id="3" w:name="hitd0p38"/>
            <w:proofErr w:type="spellStart"/>
            <w:r w:rsidRPr="00C969C1">
              <w:rPr>
                <w:i/>
                <w:iCs/>
              </w:rPr>
              <w:t>Halet</w:t>
            </w:r>
            <w:bookmarkEnd w:id="3"/>
            <w:proofErr w:type="spellEnd"/>
            <w:r w:rsidRPr="00C969C1">
              <w:rPr>
                <w:i/>
                <w:iCs/>
              </w:rPr>
              <w:t> (“il ricorrente”), ha adito la Corte in data 7 maggio 2018 ai sensi dell’articolo 34 della Convenzione per la salvaguardia dei diritti dell’uomo e delle libertà fondamentali (“la Convenzione”).</w:t>
            </w:r>
            <w:r w:rsidRPr="00C969C1">
              <w:rPr>
                <w:i/>
                <w:iCs/>
              </w:rPr>
              <w:br/>
              <w:t>2. Il ricorrente è stato rappresentato dall’avvocato C. Meyer, del foro di Strasburgo. Il Governo lussemburghese (“il Governo”) è stato rappresentato dal sig. David Weis, agente del Governo dinanzi alla Corte europea dei diritti dell’uomo.</w:t>
            </w:r>
            <w:r w:rsidRPr="00C969C1">
              <w:rPr>
                <w:i/>
                <w:iCs/>
              </w:rPr>
              <w:br/>
              <w:t>3. Il ricorrente ha asserito che la condanna penale inflittagli a seguito della sua trasmissione a un giornalista di sedici documenti prodotti dal suo datore di lavoro e coperti dal segreto professionale costituiva un’ingerenza sproporzionata nel suo diritto alla libertà di espressione.</w:t>
            </w:r>
            <w:r w:rsidRPr="00C969C1">
              <w:rPr>
                <w:i/>
                <w:iCs/>
              </w:rPr>
              <w:br/>
              <w:t>4. In data 27 novembre 2018 tale doglianza è stata comunicata al Governo e il resto del ricorso è stato dichiarato irricevibile ai sensi dell’articolo 54 § 3 del Regolamento della Corte (“il Regolamento”).</w:t>
            </w:r>
            <w:r w:rsidRPr="00C969C1">
              <w:rPr>
                <w:i/>
                <w:iCs/>
              </w:rPr>
              <w:br/>
              <w:t xml:space="preserve">5. Il ricorso è stato assegnato alla Terza Sezione della Corte (articolo 52 § 1 del Regolamento). In data 11 maggio 2021 una Camera di tale Sezione composta dai seguenti </w:t>
            </w:r>
            <w:proofErr w:type="spellStart"/>
            <w:proofErr w:type="gramStart"/>
            <w:r w:rsidRPr="00C969C1">
              <w:rPr>
                <w:i/>
                <w:iCs/>
              </w:rPr>
              <w:t>giudici:Paul</w:t>
            </w:r>
            <w:proofErr w:type="spellEnd"/>
            <w:proofErr w:type="gramEnd"/>
            <w:r w:rsidRPr="00C969C1">
              <w:rPr>
                <w:i/>
                <w:iCs/>
              </w:rPr>
              <w:t xml:space="preserve"> </w:t>
            </w:r>
            <w:proofErr w:type="spellStart"/>
            <w:r w:rsidRPr="00C969C1">
              <w:rPr>
                <w:i/>
                <w:iCs/>
              </w:rPr>
              <w:t>Lemmens</w:t>
            </w:r>
            <w:proofErr w:type="spellEnd"/>
            <w:r w:rsidRPr="00C969C1">
              <w:rPr>
                <w:i/>
                <w:iCs/>
              </w:rPr>
              <w:t xml:space="preserve">, Georgios A. </w:t>
            </w:r>
            <w:proofErr w:type="spellStart"/>
            <w:r w:rsidRPr="00C969C1">
              <w:rPr>
                <w:i/>
                <w:iCs/>
              </w:rPr>
              <w:t>Serghides</w:t>
            </w:r>
            <w:proofErr w:type="spellEnd"/>
            <w:r w:rsidRPr="00C969C1">
              <w:rPr>
                <w:i/>
                <w:iCs/>
              </w:rPr>
              <w:t xml:space="preserve">, Georges </w:t>
            </w:r>
            <w:proofErr w:type="spellStart"/>
            <w:r w:rsidRPr="00C969C1">
              <w:rPr>
                <w:i/>
                <w:iCs/>
              </w:rPr>
              <w:t>Ravarani</w:t>
            </w:r>
            <w:proofErr w:type="spellEnd"/>
            <w:r w:rsidRPr="00C969C1">
              <w:rPr>
                <w:i/>
                <w:iCs/>
              </w:rPr>
              <w:t xml:space="preserve">, María </w:t>
            </w:r>
            <w:proofErr w:type="spellStart"/>
            <w:r w:rsidRPr="00C969C1">
              <w:rPr>
                <w:i/>
                <w:iCs/>
              </w:rPr>
              <w:t>Elósegui</w:t>
            </w:r>
            <w:proofErr w:type="spellEnd"/>
            <w:r w:rsidRPr="00C969C1">
              <w:rPr>
                <w:i/>
                <w:iCs/>
              </w:rPr>
              <w:t xml:space="preserve">, </w:t>
            </w:r>
            <w:proofErr w:type="spellStart"/>
            <w:r w:rsidRPr="00C969C1">
              <w:rPr>
                <w:i/>
                <w:iCs/>
              </w:rPr>
              <w:t>Darian</w:t>
            </w:r>
            <w:proofErr w:type="spellEnd"/>
            <w:r w:rsidRPr="00C969C1">
              <w:rPr>
                <w:i/>
                <w:iCs/>
              </w:rPr>
              <w:t xml:space="preserve"> </w:t>
            </w:r>
            <w:proofErr w:type="spellStart"/>
            <w:r w:rsidRPr="00C969C1">
              <w:rPr>
                <w:i/>
                <w:iCs/>
              </w:rPr>
              <w:t>Pavli</w:t>
            </w:r>
            <w:proofErr w:type="spellEnd"/>
            <w:r w:rsidRPr="00C969C1">
              <w:rPr>
                <w:i/>
                <w:iCs/>
              </w:rPr>
              <w:t>, Anja Seibert-</w:t>
            </w:r>
            <w:proofErr w:type="spellStart"/>
            <w:r w:rsidRPr="00C969C1">
              <w:rPr>
                <w:i/>
                <w:iCs/>
              </w:rPr>
              <w:t>Fohr</w:t>
            </w:r>
            <w:proofErr w:type="spellEnd"/>
            <w:r w:rsidRPr="00C969C1">
              <w:rPr>
                <w:i/>
                <w:iCs/>
              </w:rPr>
              <w:t xml:space="preserve">, </w:t>
            </w:r>
            <w:proofErr w:type="spellStart"/>
            <w:r w:rsidRPr="00C969C1">
              <w:rPr>
                <w:i/>
                <w:iCs/>
              </w:rPr>
              <w:t>Peeter</w:t>
            </w:r>
            <w:proofErr w:type="spellEnd"/>
            <w:r w:rsidRPr="00C969C1">
              <w:rPr>
                <w:i/>
                <w:iCs/>
              </w:rPr>
              <w:t xml:space="preserve"> </w:t>
            </w:r>
            <w:proofErr w:type="spellStart"/>
            <w:r w:rsidRPr="00C969C1">
              <w:rPr>
                <w:i/>
                <w:iCs/>
              </w:rPr>
              <w:t>Roosma</w:t>
            </w:r>
            <w:proofErr w:type="spellEnd"/>
            <w:r w:rsidRPr="00C969C1">
              <w:rPr>
                <w:i/>
                <w:iCs/>
              </w:rPr>
              <w:t xml:space="preserve">, nonché dal cancelliere di sezione Milan </w:t>
            </w:r>
            <w:proofErr w:type="spellStart"/>
            <w:r w:rsidRPr="00C969C1">
              <w:rPr>
                <w:i/>
                <w:iCs/>
              </w:rPr>
              <w:t>Blaško</w:t>
            </w:r>
            <w:proofErr w:type="spellEnd"/>
            <w:r w:rsidRPr="00C969C1">
              <w:rPr>
                <w:i/>
                <w:iCs/>
              </w:rPr>
              <w:t>, ha dichiarato il ricorso ricevibile e ha pronunciato la sentenza. In data 21 giugno 2021 il ricorrente ha chiesto il rinvio della causa dinanzi alla Grande Camera in conformità all’articolo 43 della Convenzione. In data 6 settembre 2021 il collegio della Grande Camera ha accolto la domanda.</w:t>
            </w:r>
            <w:r w:rsidRPr="00C969C1">
              <w:rPr>
                <w:i/>
                <w:iCs/>
              </w:rPr>
              <w:br/>
              <w:t>6. La composizione della Grande Camera è stata determinata in conformità alle disposizioni dell’articolo 26 §§ 4 e 5 della Convenzione e dell’articolo 24 del Regolamento.</w:t>
            </w:r>
            <w:r w:rsidRPr="00C969C1">
              <w:rPr>
                <w:i/>
                <w:iCs/>
              </w:rPr>
              <w:br/>
              <w:t xml:space="preserve">7. Sia il ricorrente che il Governo hanno presentato osservazioni scritte (articolo 59 § 1 del Regolamento). Poiché il ricorrente è di nazionalità francese il Governo francese è stato invitato, qualora lo desiderasse, a presentare osservazioni scritte e/o a partecipare all’udienza dinanzi alla Grande Camera (articolo 44 § 3 lettera a) del Regolamento). Il Governo francese non si è avvalso del suo diritto di intervento. Hanno inoltre presentato commenti le organizzazioni non governative Maison </w:t>
            </w:r>
            <w:proofErr w:type="spellStart"/>
            <w:r w:rsidRPr="00C969C1">
              <w:rPr>
                <w:i/>
                <w:iCs/>
              </w:rPr>
              <w:t>des</w:t>
            </w:r>
            <w:proofErr w:type="spellEnd"/>
            <w:r w:rsidRPr="00C969C1">
              <w:rPr>
                <w:i/>
                <w:iCs/>
              </w:rPr>
              <w:t xml:space="preserve"> </w:t>
            </w:r>
            <w:proofErr w:type="spellStart"/>
            <w:r w:rsidRPr="00C969C1">
              <w:rPr>
                <w:i/>
                <w:iCs/>
              </w:rPr>
              <w:t>lanceurs</w:t>
            </w:r>
            <w:proofErr w:type="spellEnd"/>
            <w:r w:rsidRPr="00C969C1">
              <w:rPr>
                <w:i/>
                <w:iCs/>
              </w:rPr>
              <w:t xml:space="preserve"> d’alerte (</w:t>
            </w:r>
            <w:proofErr w:type="gramStart"/>
            <w:r w:rsidRPr="00C969C1">
              <w:rPr>
                <w:i/>
                <w:iCs/>
              </w:rPr>
              <w:t>in prosieguo</w:t>
            </w:r>
            <w:proofErr w:type="gramEnd"/>
            <w:r w:rsidRPr="00C969C1">
              <w:rPr>
                <w:i/>
                <w:iCs/>
              </w:rPr>
              <w:t xml:space="preserve"> “la MLA”), Media </w:t>
            </w:r>
            <w:proofErr w:type="spellStart"/>
            <w:r w:rsidRPr="00C969C1">
              <w:rPr>
                <w:i/>
                <w:iCs/>
              </w:rPr>
              <w:t>Defence</w:t>
            </w:r>
            <w:proofErr w:type="spellEnd"/>
            <w:r w:rsidRPr="00C969C1">
              <w:rPr>
                <w:i/>
                <w:iCs/>
              </w:rPr>
              <w:t xml:space="preserve"> e Whistleblower </w:t>
            </w:r>
            <w:proofErr w:type="spellStart"/>
            <w:r w:rsidRPr="00C969C1">
              <w:rPr>
                <w:i/>
                <w:iCs/>
              </w:rPr>
              <w:t>Netzwerk</w:t>
            </w:r>
            <w:proofErr w:type="spellEnd"/>
            <w:r w:rsidRPr="00C969C1">
              <w:rPr>
                <w:i/>
                <w:iCs/>
              </w:rPr>
              <w:t xml:space="preserve"> E.V. (</w:t>
            </w:r>
            <w:proofErr w:type="gramStart"/>
            <w:r w:rsidRPr="00C969C1">
              <w:rPr>
                <w:i/>
                <w:iCs/>
              </w:rPr>
              <w:t>in prosieguo</w:t>
            </w:r>
            <w:proofErr w:type="gramEnd"/>
            <w:r w:rsidRPr="00C969C1">
              <w:rPr>
                <w:i/>
                <w:iCs/>
              </w:rPr>
              <w:t xml:space="preserve"> “WBN”), che il Presidente della Grande Camera aveva autorizzato a intervenire nella procedura scritta (articoli 36 § 2 della Convenzione e 44 § 3 del Regolamento). Anche le organizzazioni non governative </w:t>
            </w:r>
            <w:proofErr w:type="spellStart"/>
            <w:r w:rsidRPr="00C969C1">
              <w:rPr>
                <w:i/>
                <w:iCs/>
              </w:rPr>
              <w:t>Article</w:t>
            </w:r>
            <w:proofErr w:type="spellEnd"/>
            <w:r w:rsidRPr="00C969C1">
              <w:rPr>
                <w:i/>
                <w:iCs/>
              </w:rPr>
              <w:t xml:space="preserve"> 19 e Whistleblowing International Network, che agivano </w:t>
            </w:r>
            <w:r w:rsidRPr="00C969C1">
              <w:rPr>
                <w:i/>
                <w:iCs/>
              </w:rPr>
              <w:lastRenderedPageBreak/>
              <w:t xml:space="preserve">anche per conto di </w:t>
            </w:r>
            <w:proofErr w:type="spellStart"/>
            <w:r w:rsidRPr="00C969C1">
              <w:rPr>
                <w:i/>
                <w:iCs/>
              </w:rPr>
              <w:t>Transparency</w:t>
            </w:r>
            <w:proofErr w:type="spellEnd"/>
            <w:r w:rsidRPr="00C969C1">
              <w:rPr>
                <w:i/>
                <w:iCs/>
              </w:rPr>
              <w:t xml:space="preserve"> International, </w:t>
            </w:r>
            <w:proofErr w:type="spellStart"/>
            <w:r w:rsidRPr="00C969C1">
              <w:rPr>
                <w:i/>
                <w:iCs/>
              </w:rPr>
              <w:t>European</w:t>
            </w:r>
            <w:proofErr w:type="spellEnd"/>
            <w:r w:rsidRPr="00C969C1">
              <w:rPr>
                <w:i/>
                <w:iCs/>
              </w:rPr>
              <w:t xml:space="preserve"> Federation of </w:t>
            </w:r>
            <w:proofErr w:type="spellStart"/>
            <w:r w:rsidRPr="00C969C1">
              <w:rPr>
                <w:i/>
                <w:iCs/>
              </w:rPr>
              <w:t>Journalists</w:t>
            </w:r>
            <w:proofErr w:type="spellEnd"/>
            <w:r w:rsidRPr="00C969C1">
              <w:rPr>
                <w:i/>
                <w:iCs/>
              </w:rPr>
              <w:t xml:space="preserve">, The Tax Justice Network e </w:t>
            </w:r>
            <w:proofErr w:type="spellStart"/>
            <w:r w:rsidRPr="00C969C1">
              <w:rPr>
                <w:i/>
                <w:iCs/>
              </w:rPr>
              <w:t>Blueprint</w:t>
            </w:r>
            <w:proofErr w:type="spellEnd"/>
            <w:r w:rsidRPr="00C969C1">
              <w:rPr>
                <w:i/>
                <w:iCs/>
              </w:rPr>
              <w:t xml:space="preserve"> for Free Speech sono state autorizzate a intervenire nella procedura scritta in qualità di terzi intervenienti ma, pur essendo stati invitati a farlo, non hanno presentato osservazioni.</w:t>
            </w:r>
            <w:r w:rsidRPr="00C969C1">
              <w:rPr>
                <w:i/>
                <w:iCs/>
              </w:rPr>
              <w:br/>
              <w:t>8. Il 2 febbraio 2022 ha avuto luogo un’udienza pubblica nel Palazzo dei Diritti dell’Uomo a Strasburgo.</w:t>
            </w:r>
            <w:r w:rsidRPr="00C969C1">
              <w:rPr>
                <w:i/>
                <w:iCs/>
              </w:rPr>
              <w:br/>
              <w:t>Sono comparsi dinanzi alla Corte:</w:t>
            </w:r>
            <w:r w:rsidRPr="00C969C1">
              <w:rPr>
                <w:i/>
                <w:iCs/>
              </w:rPr>
              <w:br/>
              <w:t>(a) Per il Governo</w:t>
            </w:r>
            <w:r w:rsidRPr="00C969C1">
              <w:rPr>
                <w:i/>
                <w:iCs/>
              </w:rPr>
              <w:br/>
              <w:t xml:space="preserve">sig. M. THEWES, </w:t>
            </w:r>
            <w:proofErr w:type="spellStart"/>
            <w:r w:rsidRPr="00C969C1">
              <w:rPr>
                <w:i/>
                <w:iCs/>
              </w:rPr>
              <w:t>avvocato,patrocinante</w:t>
            </w:r>
            <w:proofErr w:type="spellEnd"/>
            <w:r w:rsidRPr="00C969C1">
              <w:rPr>
                <w:i/>
                <w:iCs/>
              </w:rPr>
              <w:t xml:space="preserve"> principale,</w:t>
            </w:r>
            <w:r w:rsidRPr="00C969C1">
              <w:rPr>
                <w:i/>
                <w:iCs/>
              </w:rPr>
              <w:br/>
              <w:t xml:space="preserve">sig. H. RASSAFI-GUIBAL, </w:t>
            </w:r>
            <w:proofErr w:type="spellStart"/>
            <w:r w:rsidRPr="00C969C1">
              <w:rPr>
                <w:i/>
                <w:iCs/>
              </w:rPr>
              <w:t>avvocato,patrocinante</w:t>
            </w:r>
            <w:proofErr w:type="spellEnd"/>
            <w:r w:rsidRPr="00C969C1">
              <w:rPr>
                <w:i/>
                <w:iCs/>
              </w:rPr>
              <w:t>,</w:t>
            </w:r>
            <w:r w:rsidRPr="00C969C1">
              <w:rPr>
                <w:i/>
                <w:iCs/>
              </w:rPr>
              <w:br/>
              <w:t>sig.ra A. JAOUID, rappresentante del Ministero della giustizia, giurista presso il dipartimento dei diritti umani/diritti fondamentali, segretariato generale;</w:t>
            </w:r>
            <w:r w:rsidRPr="00C969C1">
              <w:rPr>
                <w:i/>
                <w:iCs/>
              </w:rPr>
              <w:br/>
              <w:t>(b) per il ricorrente</w:t>
            </w:r>
            <w:r w:rsidRPr="00C969C1">
              <w:rPr>
                <w:i/>
                <w:iCs/>
              </w:rPr>
              <w:br/>
            </w:r>
            <w:proofErr w:type="spellStart"/>
            <w:r w:rsidRPr="00C969C1">
              <w:rPr>
                <w:i/>
                <w:iCs/>
              </w:rPr>
              <w:t>sig.C</w:t>
            </w:r>
            <w:proofErr w:type="spellEnd"/>
            <w:r w:rsidRPr="00C969C1">
              <w:rPr>
                <w:i/>
                <w:iCs/>
              </w:rPr>
              <w:t>. MEYER, patrocinante,</w:t>
            </w:r>
            <w:r w:rsidRPr="00C969C1">
              <w:rPr>
                <w:i/>
                <w:iCs/>
              </w:rPr>
              <w:br/>
              <w:t xml:space="preserve">sig.ra P. </w:t>
            </w:r>
            <w:proofErr w:type="spellStart"/>
            <w:r w:rsidRPr="00C969C1">
              <w:rPr>
                <w:i/>
                <w:iCs/>
              </w:rPr>
              <w:t>DUCOULOMBIER,consulente</w:t>
            </w:r>
            <w:proofErr w:type="spellEnd"/>
            <w:r w:rsidRPr="00C969C1">
              <w:rPr>
                <w:i/>
                <w:iCs/>
              </w:rPr>
              <w:t>.</w:t>
            </w:r>
            <w:r w:rsidRPr="00C969C1">
              <w:rPr>
                <w:i/>
                <w:iCs/>
              </w:rPr>
              <w:br/>
              <w:t xml:space="preserve">La Corte ha ascoltato le dichiarazioni del sig. Meyer, del sig. </w:t>
            </w:r>
            <w:proofErr w:type="spellStart"/>
            <w:r w:rsidRPr="00C969C1">
              <w:rPr>
                <w:i/>
                <w:iCs/>
              </w:rPr>
              <w:t>Thewes</w:t>
            </w:r>
            <w:proofErr w:type="spellEnd"/>
            <w:r w:rsidRPr="00C969C1">
              <w:rPr>
                <w:i/>
                <w:iCs/>
              </w:rPr>
              <w:t xml:space="preserve"> e del sig. </w:t>
            </w:r>
            <w:proofErr w:type="spellStart"/>
            <w:r w:rsidRPr="00C969C1">
              <w:rPr>
                <w:i/>
                <w:iCs/>
              </w:rPr>
              <w:t>Rassafi</w:t>
            </w:r>
            <w:proofErr w:type="spellEnd"/>
            <w:r w:rsidRPr="00C969C1">
              <w:rPr>
                <w:i/>
                <w:iCs/>
              </w:rPr>
              <w:t xml:space="preserve"> </w:t>
            </w:r>
            <w:proofErr w:type="spellStart"/>
            <w:r w:rsidRPr="00C969C1">
              <w:rPr>
                <w:i/>
                <w:iCs/>
              </w:rPr>
              <w:t>Guibal</w:t>
            </w:r>
            <w:proofErr w:type="spellEnd"/>
            <w:r w:rsidRPr="00C969C1">
              <w:rPr>
                <w:i/>
                <w:iCs/>
              </w:rPr>
              <w:t>, e anche loro risposte alle domande poste dai giudici.</w:t>
            </w:r>
          </w:p>
          <w:p w14:paraId="4093712F" w14:textId="77777777" w:rsidR="00C969C1" w:rsidRPr="00C969C1" w:rsidRDefault="00C969C1" w:rsidP="00C969C1">
            <w:pPr>
              <w:rPr>
                <w:i/>
                <w:iCs/>
              </w:rPr>
            </w:pPr>
            <w:r w:rsidRPr="00C969C1">
              <w:rPr>
                <w:i/>
                <w:iCs/>
              </w:rPr>
              <w:t>IN FATTO</w:t>
            </w:r>
            <w:r w:rsidRPr="00C969C1">
              <w:rPr>
                <w:i/>
                <w:iCs/>
              </w:rPr>
              <w:br/>
              <w:t>I.LE CIRCOSTANZE DEL CASO DI SPECIE</w:t>
            </w:r>
            <w:r w:rsidRPr="00C969C1">
              <w:rPr>
                <w:i/>
                <w:iCs/>
              </w:rPr>
              <w:br/>
              <w:t xml:space="preserve">9. Il ricorrente è nato nel 1976 e vive a </w:t>
            </w:r>
            <w:proofErr w:type="spellStart"/>
            <w:r w:rsidRPr="00C969C1">
              <w:rPr>
                <w:i/>
                <w:iCs/>
              </w:rPr>
              <w:t>Viviers</w:t>
            </w:r>
            <w:proofErr w:type="spellEnd"/>
            <w:r w:rsidRPr="00C969C1">
              <w:rPr>
                <w:i/>
                <w:iCs/>
              </w:rPr>
              <w:t xml:space="preserve"> (Francia).</w:t>
            </w:r>
            <w:r w:rsidRPr="00C969C1">
              <w:rPr>
                <w:i/>
                <w:iCs/>
              </w:rPr>
              <w:br/>
            </w:r>
            <w:proofErr w:type="spellStart"/>
            <w:proofErr w:type="gramStart"/>
            <w:r w:rsidRPr="00C969C1">
              <w:rPr>
                <w:i/>
                <w:iCs/>
              </w:rPr>
              <w:t>A.Il</w:t>
            </w:r>
            <w:proofErr w:type="spellEnd"/>
            <w:proofErr w:type="gramEnd"/>
            <w:r w:rsidRPr="00C969C1">
              <w:rPr>
                <w:i/>
                <w:iCs/>
              </w:rPr>
              <w:t xml:space="preserve"> contesto fattuale della causa</w:t>
            </w:r>
            <w:r w:rsidRPr="00C969C1">
              <w:rPr>
                <w:i/>
                <w:iCs/>
              </w:rPr>
              <w:br/>
              <w:t>10. Il ricorrente è un ex dipendente della società PricewaterhouseCoopers (</w:t>
            </w:r>
            <w:proofErr w:type="gramStart"/>
            <w:r w:rsidRPr="00C969C1">
              <w:rPr>
                <w:i/>
                <w:iCs/>
              </w:rPr>
              <w:t>in prosieguo</w:t>
            </w:r>
            <w:proofErr w:type="gramEnd"/>
            <w:r w:rsidRPr="00C969C1">
              <w:rPr>
                <w:i/>
                <w:iCs/>
              </w:rPr>
              <w:t>, “PwC”), che fornisce servizi di revisione contabile, di consulenza fiscale e consulenza in materia di gestione di impresa. L’attività della PwC comprende, tra gli altri servizi, la compilazione di dichiarazioni dei redditi a nome e per conto dei suoi clienti, e la richiesta decisioni fiscali anticipate alle autorità fiscali. Tali decisioni, che riguardano l’applicazione della normativa fiscale a operazioni future, sono note come “accordi fiscali preventivi” [“Advance Tax Agreements</w:t>
            </w:r>
            <w:proofErr w:type="gramStart"/>
            <w:r w:rsidRPr="00C969C1">
              <w:rPr>
                <w:i/>
                <w:iCs/>
              </w:rPr>
              <w:t>”](</w:t>
            </w:r>
            <w:proofErr w:type="gramEnd"/>
            <w:r w:rsidRPr="00C969C1">
              <w:rPr>
                <w:i/>
                <w:iCs/>
              </w:rPr>
              <w:t>in prosieguo “ATA”) “decisioni fiscali preventive” o “ruling fiscali”.</w:t>
            </w:r>
            <w:r w:rsidRPr="00C969C1">
              <w:rPr>
                <w:i/>
                <w:iCs/>
              </w:rPr>
              <w:br/>
              <w:t>11. Mentre era alle dipendenze della PwC il ricorrente coordinava una squadra di cinque persone e ha fatto presente che la sua funzione non era secondaria, al contrario comportava compiti essenziali per l’attività della PwC che consisteva nell’ottenere per i suoi clienti il miglior trattamento possibile da parte delle autorità fiscali del </w:t>
            </w:r>
            <w:bookmarkStart w:id="4" w:name="hitd0p44"/>
            <w:r w:rsidRPr="00C969C1">
              <w:rPr>
                <w:i/>
                <w:iCs/>
              </w:rPr>
              <w:t>Lussemburgo</w:t>
            </w:r>
            <w:bookmarkEnd w:id="4"/>
            <w:r w:rsidRPr="00C969C1">
              <w:rPr>
                <w:i/>
                <w:iCs/>
              </w:rPr>
              <w:t>. Il Governo ha contestato tale descrizione delle funzioni del ricorrente sostenendo che all’epoca dei fatti egli svolgeva compiti di tipo amministrativo quali la raccolta, la centralizzazione, la scannerizzazione, la conservazione e la spedizione delle dichiarazioni dei redditi dei clienti.</w:t>
            </w:r>
            <w:r w:rsidRPr="00C969C1">
              <w:rPr>
                <w:i/>
                <w:iCs/>
              </w:rPr>
              <w:br/>
              <w:t>12. Nel periodo compreso tra il 2012 e il 2014 su diversi mezzi di informazione furono pubblicati alcune centinaia di ATA e di dichiarazioni dei redditi predisposti dalla PwC. Tali pubblicazioni richiamarono l’attenzione sulla prassi degli accordi fiscali estremamente vantaggiosi conclusi nel periodo compreso tra il 2002 e il 2012 tra la PwC per conto di società multinazionali e le autorità fiscali lussemburghesi.</w:t>
            </w:r>
            <w:r w:rsidRPr="00C969C1">
              <w:rPr>
                <w:i/>
                <w:iCs/>
              </w:rPr>
              <w:br/>
              <w:t xml:space="preserve">13. Una prima indagine interna effettuata dalla PwC stabilì che il 13 ottobre 2010, il giorno prima di </w:t>
            </w:r>
            <w:r w:rsidRPr="00C969C1">
              <w:rPr>
                <w:i/>
                <w:iCs/>
              </w:rPr>
              <w:lastRenderedPageBreak/>
              <w:t>lasciare la società a seguito di dimissioni, un revisore contabile, A.D., aveva copiato 45.000 pagine di documenti riservati, comprese 20.000 pagine di documenti fiscali corrispondenti a 538 fascicoli ATA e che nell’estate 2011 li aveva consegnati a un giornalista, E.P., a richiesta di quest’ultimo.</w:t>
            </w:r>
            <w:r w:rsidRPr="00C969C1">
              <w:rPr>
                <w:i/>
                <w:iCs/>
              </w:rPr>
              <w:br/>
              <w:t xml:space="preserve">14. Una seconda indagine interna della PwC portò all’individuazione del ricorrente. A seguito delle rivelazioni dei media riguardanti alcuni degli ATA copiati da A.D., il ricorrente a maggio 2012 aveva contattato E.P. offrendosi di consegnargli altri documenti. La cessione, che stata alla fine concordata dal giornalista, ebbe luogo nel periodo compreso tra ottobre e dicembre 2012 e riguardava sedici documenti, ovvero quattordici dichiarazioni dei redditi e due lettere di accompagnamento. Alcuni tra tali documenti furono utilizzati dal giornalista nella seconda puntata del programma televisivo, Cash </w:t>
            </w:r>
            <w:proofErr w:type="spellStart"/>
            <w:r w:rsidRPr="00C969C1">
              <w:rPr>
                <w:i/>
                <w:iCs/>
              </w:rPr>
              <w:t>Investigation</w:t>
            </w:r>
            <w:proofErr w:type="spellEnd"/>
            <w:r w:rsidRPr="00C969C1">
              <w:rPr>
                <w:i/>
                <w:iCs/>
              </w:rPr>
              <w:t>, trasmessa il 10 giugno 2013, un anno dopo la prima puntata sullo stesso argomento.</w:t>
            </w:r>
            <w:r w:rsidRPr="00C969C1">
              <w:rPr>
                <w:i/>
                <w:iCs/>
              </w:rPr>
              <w:br/>
              <w:t xml:space="preserve">15. In data 5 e 6 novembre 2014 i sedici documenti furono pubblicati online da una associazione di giornalisti denominata International Consortium of Investigative </w:t>
            </w:r>
            <w:proofErr w:type="spellStart"/>
            <w:r w:rsidRPr="00C969C1">
              <w:rPr>
                <w:i/>
                <w:iCs/>
              </w:rPr>
              <w:t>Journalists</w:t>
            </w:r>
            <w:proofErr w:type="spellEnd"/>
            <w:r w:rsidRPr="00C969C1">
              <w:rPr>
                <w:i/>
                <w:iCs/>
              </w:rPr>
              <w:t xml:space="preserve"> (“ICIJ “). La loro pubblicazione fu denominata dagli autori “</w:t>
            </w:r>
            <w:proofErr w:type="spellStart"/>
            <w:r w:rsidRPr="00C969C1">
              <w:rPr>
                <w:i/>
                <w:iCs/>
              </w:rPr>
              <w:t>Luxleaks</w:t>
            </w:r>
            <w:proofErr w:type="spellEnd"/>
            <w:r w:rsidRPr="00C969C1">
              <w:rPr>
                <w:i/>
                <w:iCs/>
              </w:rPr>
              <w:t xml:space="preserve">”. Dagli articoli di stampa risulta che lo scandalo </w:t>
            </w:r>
            <w:proofErr w:type="spellStart"/>
            <w:r w:rsidRPr="00C969C1">
              <w:rPr>
                <w:i/>
                <w:iCs/>
              </w:rPr>
              <w:t>Luxleaks</w:t>
            </w:r>
            <w:proofErr w:type="spellEnd"/>
            <w:r w:rsidRPr="00C969C1">
              <w:rPr>
                <w:i/>
                <w:iCs/>
              </w:rPr>
              <w:t xml:space="preserve"> aveva determinato “un anno difficile” per la PwC dopo il quale, però, essa aveva avuto un incremento del fatturato accompagnato da un considerevole aumento del suo organico.</w:t>
            </w:r>
            <w:r w:rsidRPr="00C969C1">
              <w:rPr>
                <w:i/>
                <w:iCs/>
              </w:rPr>
              <w:br/>
              <w:t>16. Il 2 dicembre 2014 il ricorrente e la società PwC conclusero un accordo transattivo in base al quale quest’ultima limitava le sue pretese alla somma simbolica di un euro ed era inoltre autorizzata a iscrivere un’ipoteca (</w:t>
            </w:r>
            <w:proofErr w:type="spellStart"/>
            <w:r w:rsidRPr="00C969C1">
              <w:rPr>
                <w:i/>
                <w:iCs/>
              </w:rPr>
              <w:t>inscription</w:t>
            </w:r>
            <w:proofErr w:type="spellEnd"/>
            <w:r w:rsidRPr="00C969C1">
              <w:rPr>
                <w:i/>
                <w:iCs/>
              </w:rPr>
              <w:t xml:space="preserve"> </w:t>
            </w:r>
            <w:proofErr w:type="spellStart"/>
            <w:r w:rsidRPr="00C969C1">
              <w:rPr>
                <w:i/>
                <w:iCs/>
              </w:rPr>
              <w:t>hypothécaire</w:t>
            </w:r>
            <w:proofErr w:type="spellEnd"/>
            <w:r w:rsidRPr="00C969C1">
              <w:rPr>
                <w:i/>
                <w:iCs/>
              </w:rPr>
              <w:t>) di dieci milioni di euro sui beni del ricorrente. Era inoltre previsto il licenziamento del ricorrente al termine del suo congedo per malattia. Il 29 dicembre 2014, a seguito di preavviso, il ricorrente fu licenziato.</w:t>
            </w:r>
            <w:r w:rsidRPr="00C969C1">
              <w:rPr>
                <w:i/>
                <w:iCs/>
              </w:rPr>
              <w:br/>
            </w:r>
            <w:proofErr w:type="gramStart"/>
            <w:r w:rsidRPr="00C969C1">
              <w:rPr>
                <w:i/>
                <w:iCs/>
              </w:rPr>
              <w:t>B.I</w:t>
            </w:r>
            <w:proofErr w:type="gramEnd"/>
            <w:r w:rsidRPr="00C969C1">
              <w:rPr>
                <w:i/>
                <w:iCs/>
              </w:rPr>
              <w:t xml:space="preserve"> procedimenti penali instaurati</w:t>
            </w:r>
            <w:r w:rsidRPr="00C969C1">
              <w:rPr>
                <w:i/>
                <w:iCs/>
              </w:rPr>
              <w:br/>
              <w:t xml:space="preserve">17. A seguito di una denuncia di PwC, A.D., </w:t>
            </w:r>
            <w:proofErr w:type="gramStart"/>
            <w:r w:rsidRPr="00C969C1">
              <w:rPr>
                <w:i/>
                <w:iCs/>
              </w:rPr>
              <w:t>E.P</w:t>
            </w:r>
            <w:proofErr w:type="gramEnd"/>
            <w:r w:rsidRPr="00C969C1">
              <w:rPr>
                <w:i/>
                <w:iCs/>
              </w:rPr>
              <w:t xml:space="preserve"> e il ricorrente furono imputati dal giudice istruttore e rinviati a giudizio dinanzi al Tribunale distrettuale del </w:t>
            </w:r>
            <w:bookmarkStart w:id="5" w:name="hitd0p48"/>
            <w:r w:rsidRPr="00C969C1">
              <w:rPr>
                <w:i/>
                <w:iCs/>
              </w:rPr>
              <w:t>Lussemburgo</w:t>
            </w:r>
            <w:bookmarkEnd w:id="5"/>
            <w:r w:rsidRPr="00C969C1">
              <w:rPr>
                <w:i/>
                <w:iCs/>
              </w:rPr>
              <w:t> dal tribunale istruttorio.</w:t>
            </w:r>
            <w:r w:rsidRPr="00C969C1">
              <w:rPr>
                <w:i/>
                <w:iCs/>
              </w:rPr>
              <w:br/>
            </w:r>
            <w:proofErr w:type="gramStart"/>
            <w:r w:rsidRPr="00C969C1">
              <w:rPr>
                <w:i/>
                <w:iCs/>
              </w:rPr>
              <w:t>1.La</w:t>
            </w:r>
            <w:proofErr w:type="gramEnd"/>
            <w:r w:rsidRPr="00C969C1">
              <w:rPr>
                <w:i/>
                <w:iCs/>
              </w:rPr>
              <w:t xml:space="preserve"> sentenza di primo grado</w:t>
            </w:r>
            <w:r w:rsidRPr="00C969C1">
              <w:rPr>
                <w:i/>
                <w:iCs/>
              </w:rPr>
              <w:br/>
              <w:t>18. Il 29 giugno 2016, il Tribunale distrettuale del </w:t>
            </w:r>
            <w:bookmarkStart w:id="6" w:name="hitd0p52"/>
            <w:r w:rsidRPr="00C969C1">
              <w:rPr>
                <w:i/>
                <w:iCs/>
              </w:rPr>
              <w:t>Lussemburgo</w:t>
            </w:r>
            <w:bookmarkEnd w:id="6"/>
            <w:r w:rsidRPr="00C969C1">
              <w:rPr>
                <w:i/>
                <w:iCs/>
              </w:rPr>
              <w:t>, in qualità di tribunale penale, condannò A.D. e il ricorrente per furto sul luogo di lavoro (</w:t>
            </w:r>
            <w:proofErr w:type="spellStart"/>
            <w:r w:rsidRPr="00C969C1">
              <w:rPr>
                <w:i/>
                <w:iCs/>
              </w:rPr>
              <w:t>vol</w:t>
            </w:r>
            <w:proofErr w:type="spellEnd"/>
            <w:r w:rsidRPr="00C969C1">
              <w:rPr>
                <w:i/>
                <w:iCs/>
              </w:rPr>
              <w:t xml:space="preserve"> </w:t>
            </w:r>
            <w:proofErr w:type="spellStart"/>
            <w:r w:rsidRPr="00C969C1">
              <w:rPr>
                <w:i/>
                <w:iCs/>
              </w:rPr>
              <w:t>domestique</w:t>
            </w:r>
            <w:proofErr w:type="spellEnd"/>
            <w:r w:rsidRPr="00C969C1">
              <w:rPr>
                <w:i/>
                <w:iCs/>
              </w:rPr>
              <w:t>), accesso fraudolento a un sistema di trattamento o trasmissione automatica dei dati, violazione del segreto commerciale, violazione del segreto professionale, riciclaggio e detenzione (</w:t>
            </w:r>
            <w:proofErr w:type="spellStart"/>
            <w:r w:rsidRPr="00C969C1">
              <w:rPr>
                <w:i/>
                <w:iCs/>
              </w:rPr>
              <w:t>blanchiment-détention</w:t>
            </w:r>
            <w:proofErr w:type="spellEnd"/>
            <w:r w:rsidRPr="00C969C1">
              <w:rPr>
                <w:i/>
                <w:iCs/>
              </w:rPr>
              <w:t>).</w:t>
            </w:r>
            <w:r w:rsidRPr="00C969C1">
              <w:rPr>
                <w:i/>
                <w:iCs/>
              </w:rPr>
              <w:br/>
              <w:t>19. A.D. fu condannato a dodici mesi di reclusione, pena interamente sospesa, e a una multa di 1.500 euro (EUR). Il ricorrente fu condannato a nove mesi di reclusione, pena interamente sospesa, e a una multa di EUR 1.000. Furono anche condannati a versare alla PwC la somma simbolica di un euro quale risarcimento civile del danno non patrimoniale, poiché la parte civile si era limitata a chiedere tale somma. E.P. fu assolto poiché ai sensi della legge non aveva partecipato quale correo o complice alla violazione del segreto commerciale o del segreto professionale.</w:t>
            </w:r>
            <w:r w:rsidRPr="00C969C1">
              <w:rPr>
                <w:i/>
                <w:iCs/>
              </w:rPr>
              <w:br/>
            </w:r>
            <w:proofErr w:type="gramStart"/>
            <w:r w:rsidRPr="00C969C1">
              <w:rPr>
                <w:i/>
                <w:iCs/>
              </w:rPr>
              <w:t>2.Il</w:t>
            </w:r>
            <w:proofErr w:type="gramEnd"/>
            <w:r w:rsidRPr="00C969C1">
              <w:rPr>
                <w:i/>
                <w:iCs/>
              </w:rPr>
              <w:t xml:space="preserve"> procedimento dinanzi alla Corte di appello</w:t>
            </w:r>
            <w:r w:rsidRPr="00C969C1">
              <w:rPr>
                <w:i/>
                <w:iCs/>
              </w:rPr>
              <w:br/>
              <w:t>20. A.D. e il ricorrente impugnarono la sentenza di primo grado ai sensi del diritto civile e penale. Il pubblico ministero propose appello ai sensi del diritto penale nei confronti di A.D., del ricorrente e di E.P.</w:t>
            </w:r>
            <w:r w:rsidRPr="00C969C1">
              <w:rPr>
                <w:i/>
                <w:iCs/>
              </w:rPr>
              <w:br/>
              <w:t>(a)Le conclusioni della Procura generale</w:t>
            </w:r>
            <w:r w:rsidRPr="00C969C1">
              <w:rPr>
                <w:i/>
                <w:iCs/>
              </w:rPr>
              <w:br/>
              <w:t xml:space="preserve">21. Nelle conclusioni d’appello del 7 dicembre 2016 il Procuratore generale riesaminò i fatti della </w:t>
            </w:r>
            <w:r w:rsidRPr="00C969C1">
              <w:rPr>
                <w:i/>
                <w:iCs/>
              </w:rPr>
              <w:lastRenderedPageBreak/>
              <w:t>causa e richiamò l’attenzione sul diritto applicabile. Dichiarò che il ricorrente aveva sottratto sedici documenti costituiti da quattordici dichiarazioni dei redditi di società, da una lettera d’accompagnamento a bozze di dichiarazioni dei redditi inviata dalla parte civile (PwC) al gruppo A., e da una lettera di notifica inviata dalla parte civile alle autorità fiscali concernente la trasformazione di una società per azioni in una società di partecipazione, cui era allegato l’atto notarile che attestava tale mutamento.</w:t>
            </w:r>
            <w:r w:rsidRPr="00C969C1">
              <w:rPr>
                <w:i/>
                <w:iCs/>
              </w:rPr>
              <w:br/>
              <w:t>22. Dopo avere riferito gli elementi fattuali concernenti ciascun imputato, il Procuratore generale passò ad esaminare gli sviluppi giuridici relativi all’applicazione alla causa del diritto interno e dell’articolo 10 della Convenzione, invocato come difesa dai tre imputati. In proposito osservò che la giurisprudenza della Corte “senza dubbio accorda agli autori di segnalazioni di illeciti o irregolarità protezione dai procedimenti penali” ma sottolineò che la subordinava a “una serie di criteri che naturalmente i tribunali nazionali devono applicare”.</w:t>
            </w:r>
            <w:r w:rsidRPr="00C969C1">
              <w:rPr>
                <w:i/>
                <w:iCs/>
              </w:rPr>
              <w:br/>
              <w:t>23. Nelle sue conclusioni finali il Procuratore generale chiese l’assoluzione del ricorrente dalle imputazioni di violazione del segreto commerciale e di riciclaggio dei proventi di frode informatica, e dichiarò che erano confermate le accuse nei suoi confronti relative al furto sul luogo di lavoro, alla frode informatica, alla violazione del segreto professionale e al riciclaggio dei proventi di un furto sul luogo di lavoro. Chiese inoltre che la formulazione della condanna del ricorrente per frode informatica fosse modificata in modo da affermare che egli era “rimasto in modo fraudolento” nel sistema di trattamento dei dati, chiese infine che la condanna del ricorrente fosse limitata a una multa.</w:t>
            </w:r>
            <w:r w:rsidRPr="00C969C1">
              <w:rPr>
                <w:i/>
                <w:iCs/>
              </w:rPr>
              <w:br/>
              <w:t>Le conclusioni del Procuratore generale comprendevano i seguenti punti:</w:t>
            </w:r>
            <w:r w:rsidRPr="00C969C1">
              <w:rPr>
                <w:i/>
                <w:iCs/>
              </w:rPr>
              <w:br/>
              <w:t>“(...)</w:t>
            </w:r>
            <w:r w:rsidRPr="00C969C1">
              <w:rPr>
                <w:i/>
                <w:iCs/>
              </w:rPr>
              <w:br/>
              <w:t>(a) Il criterio dell’interesse pubblico delle informazioni</w:t>
            </w:r>
            <w:r w:rsidRPr="00C969C1">
              <w:rPr>
                <w:i/>
                <w:iCs/>
              </w:rPr>
              <w:br/>
              <w:t>(...)</w:t>
            </w:r>
            <w:r w:rsidRPr="00C969C1">
              <w:rPr>
                <w:i/>
                <w:iCs/>
              </w:rPr>
              <w:br/>
              <w:t>La denuncia della pratica dell’ottimizzazione fiscale da parte di società transnazionali solleva una questione importante nel quadro delle discussioni relative al principio della parità di trattamento. Sono discussioni rilevanti dal punto di vista degli altri contribuenti, siano essi persone o imprese, e sono importanti anche per la fiducia del pubblico nella capacità dello Stato di salvaguardare il principio della parità di trattamento. Infine esse riguardano la fiducia dei cittadini di altri Stati membri dell’Unione europea nella capacità dei propri governi e delle istituzioni dell’Unione europea di salvaguardare suddetto principio all’interno dell’Unione.</w:t>
            </w:r>
            <w:r w:rsidRPr="00C969C1">
              <w:rPr>
                <w:i/>
                <w:iCs/>
              </w:rPr>
              <w:br/>
              <w:t>La questione è rilevante anche dal punto di vista del rispetto delle condizioni necessarie per una concorrenza leale tra, da un lato, le società transnazionali e, dall’altro, le società nazionali anche di piccole e medie dimensioni (…)</w:t>
            </w:r>
            <w:r w:rsidRPr="00C969C1">
              <w:rPr>
                <w:i/>
                <w:iCs/>
              </w:rPr>
              <w:br/>
              <w:t>È innegabile che le rivelazioni abbiano innescato un importante dibattito pubblico internazionale.</w:t>
            </w:r>
            <w:r w:rsidRPr="00C969C1">
              <w:rPr>
                <w:i/>
                <w:iCs/>
              </w:rPr>
              <w:br/>
              <w:t>È altresì innegabile che esse abbiano avuto estese conseguenze politiche, tra cui la modifica della relativa prassi vigente nel </w:t>
            </w:r>
            <w:bookmarkStart w:id="7" w:name="hitd0p56"/>
            <w:r w:rsidRPr="00C969C1">
              <w:rPr>
                <w:i/>
                <w:iCs/>
              </w:rPr>
              <w:t>Lussemburgo</w:t>
            </w:r>
            <w:bookmarkEnd w:id="7"/>
            <w:r w:rsidRPr="00C969C1">
              <w:rPr>
                <w:i/>
                <w:iCs/>
              </w:rPr>
              <w:t>, l’attuazione di uno scambio di ATA in seno all’Unione europea; una commissione di inchiesta del Parlamento europeo; procedimenti promossi dalla Commissione europea essenzialmente ma non esclusivamente nei confronti del </w:t>
            </w:r>
            <w:bookmarkStart w:id="8" w:name="hitd0p60"/>
            <w:r w:rsidRPr="00C969C1">
              <w:rPr>
                <w:i/>
                <w:iCs/>
              </w:rPr>
              <w:t>Lussemburgo</w:t>
            </w:r>
            <w:bookmarkEnd w:id="8"/>
            <w:r w:rsidRPr="00C969C1">
              <w:rPr>
                <w:i/>
                <w:iCs/>
              </w:rPr>
              <w:t xml:space="preserve"> per verificare se certi accordi ATA costituissero, in parte, aiuti di Stato vietati dal diritto dell’Unione; nonché l’apertura di negoziati in seno all’Organizzazione per la cooperazione e lo sviluppo </w:t>
            </w:r>
            <w:r w:rsidRPr="00C969C1">
              <w:rPr>
                <w:i/>
                <w:iCs/>
              </w:rPr>
              <w:lastRenderedPageBreak/>
              <w:t>economici (OCSE) per stabilire una definizione uniforme delle basi imponibili.</w:t>
            </w:r>
            <w:r w:rsidRPr="00C969C1">
              <w:rPr>
                <w:i/>
                <w:iCs/>
              </w:rPr>
              <w:br/>
              <w:t>Non si può quindi mettere seriamente in dubbio che la critica che ha motivato gli atti sia una questione di pubblico interesse.</w:t>
            </w:r>
            <w:r w:rsidRPr="00C969C1">
              <w:rPr>
                <w:i/>
                <w:iCs/>
              </w:rPr>
              <w:br/>
              <w:t>Il primo criterio, pertanto, è stato rispettato per quanto riguarda entrambi gli imputati.</w:t>
            </w:r>
            <w:r w:rsidRPr="00C969C1">
              <w:rPr>
                <w:i/>
                <w:iCs/>
              </w:rPr>
              <w:br/>
              <w:t>(b) Il criterio del danno subito</w:t>
            </w:r>
            <w:r w:rsidRPr="00C969C1">
              <w:rPr>
                <w:i/>
                <w:iCs/>
              </w:rPr>
              <w:br/>
              <w:t>(...)</w:t>
            </w:r>
            <w:r w:rsidRPr="00C969C1">
              <w:rPr>
                <w:i/>
                <w:iCs/>
              </w:rPr>
              <w:br/>
              <w:t>(ii) Il caso di Raphaël </w:t>
            </w:r>
            <w:bookmarkStart w:id="9" w:name="hitd0p64"/>
            <w:proofErr w:type="spellStart"/>
            <w:r w:rsidRPr="00C969C1">
              <w:rPr>
                <w:i/>
                <w:iCs/>
              </w:rPr>
              <w:t>Halet</w:t>
            </w:r>
            <w:bookmarkEnd w:id="9"/>
            <w:proofErr w:type="spellEnd"/>
            <w:r w:rsidRPr="00C969C1">
              <w:rPr>
                <w:i/>
                <w:iCs/>
              </w:rPr>
              <w:br/>
              <w:t>(...)</w:t>
            </w:r>
            <w:r w:rsidRPr="00C969C1">
              <w:rPr>
                <w:i/>
                <w:iCs/>
              </w:rPr>
              <w:br/>
              <w:t>– sulla questione di sapere se sia stato provocato un danno reale:</w:t>
            </w:r>
            <w:r w:rsidRPr="00C969C1">
              <w:rPr>
                <w:i/>
                <w:iCs/>
              </w:rPr>
              <w:br/>
              <w:t>per quanto riguarda la parte civile:</w:t>
            </w:r>
            <w:r w:rsidRPr="00C969C1">
              <w:rPr>
                <w:i/>
                <w:iCs/>
              </w:rPr>
              <w:br/>
              <w:t>Un danno è stato innegabilmente subito in termini di lesione alla reputazione, in particolare perché si trattava della seconda “fuga” di documenti coperti dal segreto professionale in un breve arco di tempo, ampiamente trattata dai media al punto da diventare una questione nota a tutti.</w:t>
            </w:r>
            <w:r w:rsidRPr="00C969C1">
              <w:rPr>
                <w:i/>
                <w:iCs/>
              </w:rPr>
              <w:br/>
              <w:t>Un danno è stato innegabilmente subito in termini di perdita della fiducia degli attuali o potenziali clienti nella capacità della parte civile di garantire il rispetto del segreto professionale.</w:t>
            </w:r>
            <w:r w:rsidRPr="00C969C1">
              <w:rPr>
                <w:i/>
                <w:iCs/>
              </w:rPr>
              <w:br/>
              <w:t>(...)</w:t>
            </w:r>
            <w:r w:rsidRPr="00C969C1">
              <w:rPr>
                <w:i/>
                <w:iCs/>
              </w:rPr>
              <w:br/>
              <w:t>Per quanto riguarda i clienti:</w:t>
            </w:r>
            <w:r w:rsidRPr="00C969C1">
              <w:rPr>
                <w:i/>
                <w:iCs/>
              </w:rPr>
              <w:br/>
              <w:t>Sussiste un danno di natura non patrimoniale conseguente alla violazione del segreto professionale.</w:t>
            </w:r>
            <w:r w:rsidRPr="00C969C1">
              <w:rPr>
                <w:i/>
                <w:iCs/>
              </w:rPr>
              <w:br/>
              <w:t>Sussiste indubbiamente anche un danno in termini di lesione alla propria reputazione, in quanto i media avevano pubblicato servizi sfavorevoli su tali clienti.</w:t>
            </w:r>
            <w:r w:rsidRPr="00C969C1">
              <w:rPr>
                <w:i/>
                <w:iCs/>
              </w:rPr>
              <w:br/>
              <w:t>(...)</w:t>
            </w:r>
            <w:r w:rsidRPr="00C969C1">
              <w:rPr>
                <w:i/>
                <w:iCs/>
              </w:rPr>
              <w:br/>
              <w:t>– Ai sensi del diritto interno il segreto professionale ha carattere pubblico, pertanto l’interesse pubblico alla divulgazione si contrappone a un secondo interesse pubblico e non soltanto a un interesse privato.</w:t>
            </w:r>
            <w:r w:rsidRPr="00C969C1">
              <w:rPr>
                <w:i/>
                <w:iCs/>
              </w:rPr>
              <w:br/>
              <w:t>(...)</w:t>
            </w:r>
            <w:r w:rsidRPr="00C969C1">
              <w:rPr>
                <w:i/>
                <w:iCs/>
              </w:rPr>
              <w:br/>
              <w:t>In ordine al principio di proporzionalità, i documenti consegnati erano 16 rispetto agli oltre 500 trasmessi da A.D. Ciò detto, i documenti in questione erano coperti dal segreto professionale e </w:t>
            </w:r>
            <w:bookmarkStart w:id="10" w:name="hitd0p68"/>
            <w:proofErr w:type="spellStart"/>
            <w:r w:rsidRPr="00C969C1">
              <w:rPr>
                <w:i/>
                <w:iCs/>
              </w:rPr>
              <w:t>Halet</w:t>
            </w:r>
            <w:bookmarkEnd w:id="10"/>
            <w:proofErr w:type="spellEnd"/>
            <w:r w:rsidRPr="00C969C1">
              <w:rPr>
                <w:i/>
                <w:iCs/>
              </w:rPr>
              <w:t> li ha consegnati senza riserve o restrizioni (…)</w:t>
            </w:r>
            <w:r w:rsidRPr="00C969C1">
              <w:rPr>
                <w:i/>
                <w:iCs/>
              </w:rPr>
              <w:br/>
              <w:t>(...)</w:t>
            </w:r>
            <w:r w:rsidRPr="00C969C1">
              <w:rPr>
                <w:i/>
                <w:iCs/>
              </w:rPr>
              <w:br/>
              <w:t>Tenuto conto di tutti tali elementi e, in particolare, degli specifici “doveri e responsabilità” [del ricorrente] in quanto depositario di un segreto professionale, della limitata rilevanza intrinseca dei documenti e della loro divulgazione in un momento in cui la questione era già stata ampiamente illustrata a seguito degli atti compiuti da D., delle alternative a disposizione del [ricorrente] per esprimersi sulla questione senza violare il segreto professionale, della giustificazione per tale segreto e del danno provocato, anche qualora i documenti fossero stati in effetti meno segreti di quelli divulgati da D., la bilancia degli interessi penderebbe a sfavore delle interesse pubblico delle informazioni.</w:t>
            </w:r>
            <w:r w:rsidRPr="00C969C1">
              <w:rPr>
                <w:i/>
                <w:iCs/>
              </w:rPr>
              <w:br/>
              <w:t>Nel caso di specie tale interesse era ulteriormente ridotto a causa del fatto che i documenti riproducevano informazioni reperibili altrove, fatto che però non autorizzava Raphaël </w:t>
            </w:r>
            <w:bookmarkStart w:id="11" w:name="hitd0p72"/>
            <w:proofErr w:type="spellStart"/>
            <w:r w:rsidRPr="00C969C1">
              <w:rPr>
                <w:i/>
                <w:iCs/>
              </w:rPr>
              <w:t>Halet</w:t>
            </w:r>
            <w:bookmarkEnd w:id="11"/>
            <w:proofErr w:type="spellEnd"/>
            <w:r w:rsidRPr="00C969C1">
              <w:rPr>
                <w:i/>
                <w:iCs/>
              </w:rPr>
              <w:t xml:space="preserve"> a rivelarle violando il suo dovere di lealtà verso il suo datore di lavoro e l’obbligo del segreto </w:t>
            </w:r>
            <w:r w:rsidRPr="00C969C1">
              <w:rPr>
                <w:i/>
                <w:iCs/>
              </w:rPr>
              <w:lastRenderedPageBreak/>
              <w:t>professionale.</w:t>
            </w:r>
            <w:r w:rsidRPr="00C969C1">
              <w:rPr>
                <w:i/>
                <w:iCs/>
              </w:rPr>
              <w:br/>
              <w:t>Pertanto Raphaël </w:t>
            </w:r>
            <w:bookmarkStart w:id="12" w:name="hitd0p76"/>
            <w:proofErr w:type="spellStart"/>
            <w:r w:rsidRPr="00C969C1">
              <w:rPr>
                <w:i/>
                <w:iCs/>
              </w:rPr>
              <w:t>Halet</w:t>
            </w:r>
            <w:bookmarkEnd w:id="12"/>
            <w:proofErr w:type="spellEnd"/>
            <w:r w:rsidRPr="00C969C1">
              <w:rPr>
                <w:i/>
                <w:iCs/>
              </w:rPr>
              <w:t> non ha soddisfatto il presente criterio.</w:t>
            </w:r>
            <w:r w:rsidRPr="00C969C1">
              <w:rPr>
                <w:i/>
                <w:iCs/>
              </w:rPr>
              <w:br/>
              <w:t>(...)</w:t>
            </w:r>
            <w:r w:rsidRPr="00C969C1">
              <w:rPr>
                <w:i/>
                <w:iCs/>
              </w:rPr>
              <w:br/>
              <w:t>Raphaël </w:t>
            </w:r>
            <w:bookmarkStart w:id="13" w:name="hitd0p80"/>
            <w:proofErr w:type="spellStart"/>
            <w:r w:rsidRPr="00C969C1">
              <w:rPr>
                <w:i/>
                <w:iCs/>
              </w:rPr>
              <w:t>Halet</w:t>
            </w:r>
            <w:bookmarkEnd w:id="13"/>
            <w:proofErr w:type="spellEnd"/>
            <w:r w:rsidRPr="00C969C1">
              <w:rPr>
                <w:i/>
                <w:iCs/>
              </w:rPr>
              <w:t> inoltre ha agito in buona fede e nel pubblico interesse e ha consegnato documenti autentici, non ha però rispettato il principio di sussidiarietà in relazione all’oggetto delle rivelazioni e, sostanzialmente per gli stessi motivi, al danno provocato e al “bilanciamento degli interessi”.</w:t>
            </w:r>
            <w:r w:rsidRPr="00C969C1">
              <w:rPr>
                <w:i/>
                <w:iCs/>
              </w:rPr>
              <w:br/>
              <w:t xml:space="preserve">Egli non può pertanto beneficiare di una protezione totale in termini di criteri giurisprudenziali derivanti dalla sentenza </w:t>
            </w:r>
            <w:proofErr w:type="spellStart"/>
            <w:r w:rsidRPr="00C969C1">
              <w:rPr>
                <w:i/>
                <w:iCs/>
              </w:rPr>
              <w:t>Guja</w:t>
            </w:r>
            <w:proofErr w:type="spellEnd"/>
            <w:r w:rsidRPr="00C969C1">
              <w:rPr>
                <w:i/>
                <w:iCs/>
              </w:rPr>
              <w:t>. Il livello di tutela concessogli è dunque inferiore, pur non essendo egli completamente privo della protezione di cui all’articolo 10 della Convenzione.</w:t>
            </w:r>
            <w:r w:rsidRPr="00C969C1">
              <w:rPr>
                <w:i/>
                <w:iCs/>
              </w:rPr>
              <w:br/>
              <w:t>In ordine al criterio della proporzionalità della pena, occorre tenere conto del fatto che [il ricorrente] è stato licenziato dal suo datore di lavoro dopo la scoperta di ciò che era accaduto, e quindi, di fatto, gli è già stata inflitta una pena.</w:t>
            </w:r>
            <w:r w:rsidRPr="00C969C1">
              <w:rPr>
                <w:i/>
                <w:iCs/>
              </w:rPr>
              <w:br/>
              <w:t>Tenuto conto di tutti i suddetti elementi, è opportuno concludere che le accuse nei suoi confronti sono confermate ma si propone di limitare la pena alla sola multa.</w:t>
            </w:r>
            <w:r w:rsidRPr="00C969C1">
              <w:rPr>
                <w:i/>
                <w:iCs/>
              </w:rPr>
              <w:br/>
              <w:t>(...)”</w:t>
            </w:r>
            <w:r w:rsidRPr="00C969C1">
              <w:rPr>
                <w:i/>
                <w:iCs/>
              </w:rPr>
              <w:br/>
              <w:t>(b)La sentenza della Corte di appello</w:t>
            </w:r>
            <w:r w:rsidRPr="00C969C1">
              <w:rPr>
                <w:i/>
                <w:iCs/>
              </w:rPr>
              <w:br/>
              <w:t>24. Con sentenza del 15 marzo 2017 la Corte di appello del Granducato di </w:t>
            </w:r>
            <w:bookmarkStart w:id="14" w:name="hitd0p84"/>
            <w:r w:rsidRPr="00C969C1">
              <w:rPr>
                <w:i/>
                <w:iCs/>
              </w:rPr>
              <w:t>Lussemburgo</w:t>
            </w:r>
            <w:bookmarkEnd w:id="14"/>
            <w:r w:rsidRPr="00C969C1">
              <w:rPr>
                <w:i/>
                <w:iCs/>
              </w:rPr>
              <w:t> espose i fatti pertinenti nel seguente modo:</w:t>
            </w:r>
            <w:r w:rsidRPr="00C969C1">
              <w:rPr>
                <w:i/>
                <w:iCs/>
              </w:rPr>
              <w:br/>
              <w:t>“(...)</w:t>
            </w:r>
            <w:r w:rsidRPr="00C969C1">
              <w:rPr>
                <w:i/>
                <w:iCs/>
              </w:rPr>
              <w:br/>
              <w:t xml:space="preserve">Nel corso della trasmissione ‘Cash </w:t>
            </w:r>
            <w:proofErr w:type="spellStart"/>
            <w:r w:rsidRPr="00C969C1">
              <w:rPr>
                <w:i/>
                <w:iCs/>
              </w:rPr>
              <w:t>Investigation</w:t>
            </w:r>
            <w:proofErr w:type="spellEnd"/>
            <w:r w:rsidRPr="00C969C1">
              <w:rPr>
                <w:i/>
                <w:iCs/>
              </w:rPr>
              <w:t>’ dell’11 maggio 2012 (…) sul tema ‘Paradisi fiscali: i piccoli segreti delle grandi imprese’ i giornalisti hanno fatto riferimento a 47.000 pagine di documenti di lavoro della società PwC, ottenuti da una fonte anonima; hanno mostrato diverse immagini che sembravano ATA o lettere di conferma (…). Tali richieste riservate di ‘ruling fiscali’ su carta intestata della PwC, approvate dalle autorità fiscali, sono state mostrate sullo schermo e commentate dai partecipanti. Sono state discusse le strutture societarie create dalle multinazionali a fini di ottimizzazione fiscale che erano state approvate dalla amministrazione delle imposte dirette del </w:t>
            </w:r>
            <w:bookmarkStart w:id="15" w:name="hitd0p88"/>
            <w:r w:rsidRPr="00C969C1">
              <w:rPr>
                <w:i/>
                <w:iCs/>
              </w:rPr>
              <w:t>Lussemburgo</w:t>
            </w:r>
            <w:bookmarkEnd w:id="15"/>
            <w:r w:rsidRPr="00C969C1">
              <w:rPr>
                <w:i/>
                <w:iCs/>
              </w:rPr>
              <w:t>. In totale sono stati citati o potevano essere identificati 24 diversi clienti della PwC.</w:t>
            </w:r>
            <w:r w:rsidRPr="00C969C1">
              <w:rPr>
                <w:i/>
                <w:iCs/>
              </w:rPr>
              <w:br/>
              <w:t>(...)</w:t>
            </w:r>
            <w:r w:rsidRPr="00C969C1">
              <w:rPr>
                <w:i/>
                <w:iCs/>
              </w:rPr>
              <w:br/>
              <w:t xml:space="preserve">Il 10 giugno 2013 il canale televisivo (…) ha trasmesso una nuova puntata del programma Cash </w:t>
            </w:r>
            <w:proofErr w:type="spellStart"/>
            <w:r w:rsidRPr="00C969C1">
              <w:rPr>
                <w:i/>
                <w:iCs/>
              </w:rPr>
              <w:t>Investigation</w:t>
            </w:r>
            <w:proofErr w:type="spellEnd"/>
            <w:r w:rsidRPr="00C969C1">
              <w:rPr>
                <w:i/>
                <w:iCs/>
              </w:rPr>
              <w:t xml:space="preserve"> che comprendeva un servizio intitolato ‘lo scandalo dell’evasione fiscale: rivelazioni sui miliardi che ci mancano’. Sono stati mostrati sullo schermo diversi documenti fiscali predisposti dalla PwC, tra i quali un ATA che si sapeva essere in possesso del giornalista E.P., giacché l’inchiesta interna aveva rivelato che erano stati sottratti da A.D., ma anche quattro dichiarazioni dei redditi, che erano documenti nuovi prodotti dopo le dimissioni di A.D.</w:t>
            </w:r>
            <w:r w:rsidRPr="00C969C1">
              <w:rPr>
                <w:i/>
                <w:iCs/>
              </w:rPr>
              <w:br/>
              <w:t xml:space="preserve">In data 5 e 6 novembre 2014 l’International Consortium of Investigative </w:t>
            </w:r>
            <w:proofErr w:type="spellStart"/>
            <w:r w:rsidRPr="00C969C1">
              <w:rPr>
                <w:i/>
                <w:iCs/>
              </w:rPr>
              <w:t>Journalists</w:t>
            </w:r>
            <w:proofErr w:type="spellEnd"/>
            <w:r w:rsidRPr="00C969C1">
              <w:rPr>
                <w:i/>
                <w:iCs/>
              </w:rPr>
              <w:t xml:space="preserve"> (in prosieguo l’ICIJ), in collaborazione con circa quaranta media partner, ha pubblicato sul suo sito web 28.000 pagine di accordi fiscali predisposti tra la società di revisione contabile PricewaterhouseCoopers e l’amministrazione delle imposte dirette del </w:t>
            </w:r>
            <w:bookmarkStart w:id="16" w:name="hitd0p92"/>
            <w:r w:rsidRPr="00C969C1">
              <w:rPr>
                <w:i/>
                <w:iCs/>
              </w:rPr>
              <w:t>Lussemburgo</w:t>
            </w:r>
            <w:bookmarkEnd w:id="16"/>
            <w:r w:rsidRPr="00C969C1">
              <w:rPr>
                <w:i/>
                <w:iCs/>
              </w:rPr>
              <w:t xml:space="preserve"> corrispondenti a 554 file comprendenti 538 ATA di società multinazionali sottratti in precedenza alla PwC in modo fraudolento da A.D., nonché 14 dichiarazioni dei redditi, una lettera di accompagnamento e una lettera di notifica </w:t>
            </w:r>
            <w:r w:rsidRPr="00C969C1">
              <w:rPr>
                <w:i/>
                <w:iCs/>
              </w:rPr>
              <w:lastRenderedPageBreak/>
              <w:t>indirizzata all’amministrazione delle imposte dirette che, come aveva scoperto la PwC grazie a un’inchiesta interna, erano state fraudolentemente sottratte da Raphaël David </w:t>
            </w:r>
            <w:bookmarkStart w:id="17" w:name="hitd0p96"/>
            <w:proofErr w:type="spellStart"/>
            <w:r w:rsidRPr="00C969C1">
              <w:rPr>
                <w:i/>
                <w:iCs/>
              </w:rPr>
              <w:t>Halet</w:t>
            </w:r>
            <w:bookmarkEnd w:id="17"/>
            <w:proofErr w:type="spellEnd"/>
            <w:r w:rsidRPr="00C969C1">
              <w:rPr>
                <w:i/>
                <w:iCs/>
              </w:rPr>
              <w:t>.</w:t>
            </w:r>
            <w:r w:rsidRPr="00C969C1">
              <w:rPr>
                <w:i/>
                <w:iCs/>
              </w:rPr>
              <w:br/>
              <w:t>L’inchiesta e l’analisi dei documenti dell’ICIJ hanno messo in luce la pratica degli ATA nel periodo compreso tra il 2002 e il 2010, ovvero gli accordi fiscali estremamente vantaggiosi conclusi tra la società di revisione contabile PwC per conto di società multinazionali e l’amministrazione delle imposte dirette del </w:t>
            </w:r>
            <w:bookmarkStart w:id="18" w:name="hitd0p100"/>
            <w:r w:rsidRPr="00C969C1">
              <w:rPr>
                <w:i/>
                <w:iCs/>
              </w:rPr>
              <w:t>Lussemburgo</w:t>
            </w:r>
            <w:bookmarkEnd w:id="18"/>
            <w:r w:rsidRPr="00C969C1">
              <w:rPr>
                <w:i/>
                <w:iCs/>
              </w:rPr>
              <w:t> che consentiva il trasferimento di reddito tra gruppi che dava luogo un’aliquota d’imposta effettiva molto inferiore all’aliquota legale.</w:t>
            </w:r>
            <w:r w:rsidRPr="00C969C1">
              <w:rPr>
                <w:i/>
                <w:iCs/>
              </w:rPr>
              <w:br/>
              <w:t>Tali ultime rivelazioni alla fine, due anni dopo la fuga di notizie attribuita a A.D. e a Raphaël David </w:t>
            </w:r>
            <w:bookmarkStart w:id="19" w:name="hitd0p104"/>
            <w:proofErr w:type="spellStart"/>
            <w:r w:rsidRPr="00C969C1">
              <w:rPr>
                <w:i/>
                <w:iCs/>
              </w:rPr>
              <w:t>Halet</w:t>
            </w:r>
            <w:bookmarkEnd w:id="19"/>
            <w:proofErr w:type="spellEnd"/>
            <w:r w:rsidRPr="00C969C1">
              <w:rPr>
                <w:i/>
                <w:iCs/>
              </w:rPr>
              <w:t xml:space="preserve">, hanno dato origine al cosiddetto scandalo </w:t>
            </w:r>
            <w:proofErr w:type="spellStart"/>
            <w:r w:rsidRPr="00C969C1">
              <w:rPr>
                <w:i/>
                <w:iCs/>
              </w:rPr>
              <w:t>Luxleaks</w:t>
            </w:r>
            <w:proofErr w:type="spellEnd"/>
            <w:r w:rsidRPr="00C969C1">
              <w:rPr>
                <w:i/>
                <w:iCs/>
              </w:rPr>
              <w:t>.</w:t>
            </w:r>
            <w:r w:rsidRPr="00C969C1">
              <w:rPr>
                <w:i/>
                <w:iCs/>
              </w:rPr>
              <w:br/>
              <w:t>Il 9 dicembre 2014 l’ICIJ ha pubblicato un’altra serie di documenti fiscali, in particolare le dichiarazioni dei redditi di note multinazionali, completando la prima serie di rivelazioni e mettendo ancora una volta in luce le pratiche fiscali di circa trenta società multinazionali. Queste rivelazioni sono state denominate ‘</w:t>
            </w:r>
            <w:proofErr w:type="spellStart"/>
            <w:r w:rsidRPr="00C969C1">
              <w:rPr>
                <w:i/>
                <w:iCs/>
              </w:rPr>
              <w:t>Luxleaks</w:t>
            </w:r>
            <w:proofErr w:type="spellEnd"/>
            <w:r w:rsidRPr="00C969C1">
              <w:rPr>
                <w:i/>
                <w:iCs/>
              </w:rPr>
              <w:t xml:space="preserve"> 2’.</w:t>
            </w:r>
            <w:r w:rsidRPr="00C969C1">
              <w:rPr>
                <w:i/>
                <w:iCs/>
              </w:rPr>
              <w:br/>
              <w:t>Il 23 dicembre 2014 La PwC ha depositato un’integrazione di denuncia in ordine al furto dei summenzionati 16 documenti, comprendenti 14 dichiarazioni dei redditi, commesso dopo le dimissioni di A.D. il cui autore, come accertato da un’ulteriore indagine interna, era Raphaël David </w:t>
            </w:r>
            <w:bookmarkStart w:id="20" w:name="hitd0p108"/>
            <w:proofErr w:type="spellStart"/>
            <w:r w:rsidRPr="00C969C1">
              <w:rPr>
                <w:i/>
                <w:iCs/>
              </w:rPr>
              <w:t>Halet</w:t>
            </w:r>
            <w:bookmarkEnd w:id="20"/>
            <w:proofErr w:type="spellEnd"/>
            <w:r w:rsidRPr="00C969C1">
              <w:rPr>
                <w:i/>
                <w:iCs/>
              </w:rPr>
              <w:t> che, alla luce di tali fatti era stato licenziato, con preavviso, con una lettera datata 29 dicembre 2014.</w:t>
            </w:r>
            <w:r w:rsidRPr="00C969C1">
              <w:rPr>
                <w:i/>
                <w:iCs/>
              </w:rPr>
              <w:br/>
              <w:t>(...)</w:t>
            </w:r>
            <w:r w:rsidRPr="00C969C1">
              <w:rPr>
                <w:i/>
                <w:iCs/>
              </w:rPr>
              <w:br/>
              <w:t>Raphaël David </w:t>
            </w:r>
            <w:bookmarkStart w:id="21" w:name="hitd0p112"/>
            <w:proofErr w:type="spellStart"/>
            <w:r w:rsidRPr="00C969C1">
              <w:rPr>
                <w:i/>
                <w:iCs/>
              </w:rPr>
              <w:t>Halet</w:t>
            </w:r>
            <w:bookmarkEnd w:id="21"/>
            <w:proofErr w:type="spellEnd"/>
            <w:r w:rsidRPr="00C969C1">
              <w:rPr>
                <w:i/>
                <w:iCs/>
              </w:rPr>
              <w:t> sostiene di aver copiato le dichiarazioni dei redditi di 14 società multinazionali molto note al fine di trasmetterle al giornalista E.P. supportando così le sue inchieste e le sue rivelazioni sui media (...)</w:t>
            </w:r>
            <w:r w:rsidRPr="00C969C1">
              <w:rPr>
                <w:i/>
                <w:iCs/>
              </w:rPr>
              <w:br/>
              <w:t>(...) E.P. (...) ammette di essere stato contattato da Raphaël David </w:t>
            </w:r>
            <w:bookmarkStart w:id="22" w:name="hitd0p116"/>
            <w:proofErr w:type="spellStart"/>
            <w:r w:rsidRPr="00C969C1">
              <w:rPr>
                <w:i/>
                <w:iCs/>
              </w:rPr>
              <w:t>Halet</w:t>
            </w:r>
            <w:bookmarkEnd w:id="22"/>
            <w:proofErr w:type="spellEnd"/>
            <w:r w:rsidRPr="00C969C1">
              <w:rPr>
                <w:i/>
                <w:iCs/>
              </w:rPr>
              <w:t>, che si era offerto di fornirgli documenti che avrebbero supportato il suo lavoro, e conferma di aver consigliato [al ricorrente] di creare una casella di posta elettronica allo specifico scopo di scambiare i dati. In tal modo Raphaël David </w:t>
            </w:r>
            <w:bookmarkStart w:id="23" w:name="hitd0p120"/>
            <w:proofErr w:type="spellStart"/>
            <w:r w:rsidRPr="00C969C1">
              <w:rPr>
                <w:i/>
                <w:iCs/>
              </w:rPr>
              <w:t>Halet</w:t>
            </w:r>
            <w:bookmarkEnd w:id="23"/>
            <w:proofErr w:type="spellEnd"/>
            <w:r w:rsidRPr="00C969C1">
              <w:rPr>
                <w:i/>
                <w:iCs/>
              </w:rPr>
              <w:t> gli aveva asseritamente inviato quattordici dichiarazioni dei redditi di società multinazionali conosciute a livello internazionale, ed egli ne aveva utilizzato una parte nella seconda puntata del programma (...)</w:t>
            </w:r>
            <w:r w:rsidRPr="00C969C1">
              <w:rPr>
                <w:i/>
                <w:iCs/>
              </w:rPr>
              <w:br/>
              <w:t>(...)”</w:t>
            </w:r>
            <w:r w:rsidRPr="00C969C1">
              <w:rPr>
                <w:i/>
                <w:iCs/>
              </w:rPr>
              <w:br/>
              <w:t>25. In ordine al merito della causa, la Corte di appello osservò che A.D. e il ricorrente avevano invocato l’articolo 10 della Convenzione, come interpretato dalla Corte, e avevano chiesto che, ai sensi di tale disposizione, fosse loro accordato lo status di “autore di segnalazioni di illeciti o irregolarità” (“</w:t>
            </w:r>
            <w:proofErr w:type="spellStart"/>
            <w:r w:rsidRPr="00C969C1">
              <w:rPr>
                <w:i/>
                <w:iCs/>
              </w:rPr>
              <w:t>whistle-blower</w:t>
            </w:r>
            <w:proofErr w:type="spellEnd"/>
            <w:r w:rsidRPr="00C969C1">
              <w:rPr>
                <w:i/>
                <w:iCs/>
              </w:rPr>
              <w:t>”) con conseguente assoluzione. La Corte di appello si pronunciò sugli “autori di segnalazioni di illeciti o irregolarità nel diritto lussemburghese” come segue:</w:t>
            </w:r>
            <w:r w:rsidRPr="00C969C1">
              <w:rPr>
                <w:i/>
                <w:iCs/>
              </w:rPr>
              <w:br/>
              <w:t>“(...)</w:t>
            </w:r>
            <w:r w:rsidRPr="00C969C1">
              <w:rPr>
                <w:i/>
                <w:iCs/>
              </w:rPr>
              <w:br/>
              <w:t>La Corte osserva che nessuno dei due strumenti lussemburghesi che riconoscono lo status di autore di segnalazioni di illeciti o irregolarità, ovvero l’articolo L.271-1 del Codice del lavoro e l’articolo 38-12 della legge sul settore finanziario (legge del 5 maggio 1993), forniscono una definizione di ‘autore di segnalazioni di illeciti o irregolarità’ o specificano i criteri per l’applicazione di tale status.</w:t>
            </w:r>
            <w:r w:rsidRPr="00C969C1">
              <w:rPr>
                <w:i/>
                <w:iCs/>
              </w:rPr>
              <w:br/>
              <w:t>(...) Tali strumenti non si applicano al caso di specie.</w:t>
            </w:r>
            <w:r w:rsidRPr="00C969C1">
              <w:rPr>
                <w:i/>
                <w:iCs/>
              </w:rPr>
              <w:br/>
              <w:t>(...)</w:t>
            </w:r>
            <w:r w:rsidRPr="00C969C1">
              <w:rPr>
                <w:i/>
                <w:iCs/>
              </w:rPr>
              <w:br/>
            </w:r>
            <w:r w:rsidRPr="00C969C1">
              <w:rPr>
                <w:i/>
                <w:iCs/>
              </w:rPr>
              <w:lastRenderedPageBreak/>
              <w:t>Di conseguenza, si applica al caso di specie la Convenzione, come interpretata dalla Corte europea [e] recepita dal diritto lussemburghese, (…), in particolare l’articolo 10, che riconosce e garantisce la libertà di espressione.</w:t>
            </w:r>
            <w:r w:rsidRPr="00C969C1">
              <w:rPr>
                <w:i/>
                <w:iCs/>
              </w:rPr>
              <w:br/>
              <w:t>(...)</w:t>
            </w:r>
            <w:r w:rsidRPr="00C969C1">
              <w:rPr>
                <w:i/>
                <w:iCs/>
              </w:rPr>
              <w:br/>
              <w:t>Dalle disposizioni dell’articolo 10 della Convenzione europea consegue che ogni persona ha diritto alla libertà di espressione (…)</w:t>
            </w:r>
            <w:r w:rsidRPr="00C969C1">
              <w:rPr>
                <w:i/>
                <w:iCs/>
              </w:rPr>
              <w:br/>
              <w:t>Tale libertà fondamentale, sancita da uno strumento sopranazionale, non può essere vanificata dalle norme nazionali. Pertanto, nell’ambito di un dibattito su una questione di interesse generale riguardante l’elusione fiscale, l’esenzione fiscale e l’evasione fiscale, la libertà di espressione dell’autore di una segnalazione può, se necessario e a certe condizioni, prevalere ed essere invocata come circostanza che giustifica la violazione del diritto nazionale.</w:t>
            </w:r>
            <w:r w:rsidRPr="00C969C1">
              <w:rPr>
                <w:i/>
                <w:iCs/>
              </w:rPr>
              <w:br/>
              <w:t>La giustificazione di aver effettuato una segnalazione di un illecito o di una irregolarità neutralizza il carattere illecito della violazione del diritto nazionale che necessariamente si commette divulgando in buona fede e in maniera proporzionata e opportuna informazioni di pubblico interesse.</w:t>
            </w:r>
            <w:r w:rsidRPr="00C969C1">
              <w:rPr>
                <w:i/>
                <w:iCs/>
              </w:rPr>
              <w:br/>
              <w:t>(...)”</w:t>
            </w:r>
            <w:r w:rsidRPr="00C969C1">
              <w:rPr>
                <w:i/>
                <w:iCs/>
              </w:rPr>
              <w:br/>
              <w:t>26. In ordine alle diverse imputazioni la Corte di appello decise, per diversi motivi legati al diritto penale interno, che non era necessario ritenere confermate le accuse nei confronti di A.D. e del ricorrente relative alla violazione del segreto commerciale o, in relazione a esso, al riciclaggio e detenzione, o al riciclaggio e alla detenzione dei proventi di una frode informatica.</w:t>
            </w:r>
            <w:r w:rsidRPr="00C969C1">
              <w:rPr>
                <w:i/>
                <w:iCs/>
              </w:rPr>
              <w:br/>
              <w:t>27. Ritenne inoltre, tenendo conto esclusivamente del diritto penale interno, che il tribunale di primo grado fosse nel giusto quando aveva concluso che A.D. e il ricorrente avevano commesso i reati di furto sul luogo di lavoro, iniziale o continuato accesso fraudolento a un sistema di trattamento o di trasmissione automatizzata dei dati, violazione del segreto professionale e riciclaggio dei proventi di un furto sul luogo di lavoro. Ritenne, diversamente dal tribunale di primo grado, che E.P. dovesse essere considerato complice della violazione del segreto professionale commessa dal ricorrente e del riciclaggio e della detenzione dei proventi del furto sul luogo di lavoro sempre da lui commessi. I pertinenti estratti della sentenza della Corte di appello recitano:</w:t>
            </w:r>
            <w:r w:rsidRPr="00C969C1">
              <w:rPr>
                <w:i/>
                <w:iCs/>
              </w:rPr>
              <w:br/>
              <w:t>“(...)</w:t>
            </w:r>
            <w:r w:rsidRPr="00C969C1">
              <w:rPr>
                <w:i/>
                <w:iCs/>
              </w:rPr>
              <w:br/>
              <w:t>All’epoca dei fatti Raphaël David </w:t>
            </w:r>
            <w:bookmarkStart w:id="24" w:name="hitd0p124"/>
            <w:proofErr w:type="spellStart"/>
            <w:r w:rsidRPr="00C969C1">
              <w:rPr>
                <w:i/>
                <w:iCs/>
              </w:rPr>
              <w:t>Halet</w:t>
            </w:r>
            <w:bookmarkEnd w:id="24"/>
            <w:proofErr w:type="spellEnd"/>
            <w:r w:rsidRPr="00C969C1">
              <w:rPr>
                <w:i/>
                <w:iCs/>
              </w:rPr>
              <w:t> svolgeva compiti di agente amministrativo consistenti principalmente nel raccogliere le dichiarazioni dei redditi e gli ATA, centralizzarli con la sua squadra, scannerizzarli e conservarli in una cartella informatica ad alta sicurezza nonché, ove necessario nell’inviare le dichiarazioni dei redditi ai clienti in questione.</w:t>
            </w:r>
            <w:r w:rsidRPr="00C969C1">
              <w:rPr>
                <w:i/>
                <w:iCs/>
              </w:rPr>
              <w:br/>
              <w:t>Grazie alle sue funzioni egli faceva parte del limitato numero di persone che aveva accesso alla cartella ‘procedura fiscale”, il supporto dati nel quale alcune dichiarazioni dei redditi erano conservate.</w:t>
            </w:r>
            <w:r w:rsidRPr="00C969C1">
              <w:rPr>
                <w:i/>
                <w:iCs/>
              </w:rPr>
              <w:br/>
              <w:t>(...)</w:t>
            </w:r>
            <w:r w:rsidRPr="00C969C1">
              <w:rPr>
                <w:i/>
                <w:iCs/>
              </w:rPr>
              <w:br/>
              <w:t>Raphaël David </w:t>
            </w:r>
            <w:bookmarkStart w:id="25" w:name="hitd0p128"/>
            <w:proofErr w:type="spellStart"/>
            <w:r w:rsidRPr="00C969C1">
              <w:rPr>
                <w:i/>
                <w:iCs/>
              </w:rPr>
              <w:t>Halet</w:t>
            </w:r>
            <w:bookmarkEnd w:id="25"/>
            <w:proofErr w:type="spellEnd"/>
            <w:r w:rsidRPr="00C969C1">
              <w:rPr>
                <w:i/>
                <w:iCs/>
              </w:rPr>
              <w:t xml:space="preserve"> contattò il giornalista E.P. il 21 maggio 2012, dopo la trasmissione della puntata del programma Cash </w:t>
            </w:r>
            <w:proofErr w:type="spellStart"/>
            <w:r w:rsidRPr="00C969C1">
              <w:rPr>
                <w:i/>
                <w:iCs/>
              </w:rPr>
              <w:t>Investigation</w:t>
            </w:r>
            <w:proofErr w:type="spellEnd"/>
            <w:r w:rsidRPr="00C969C1">
              <w:rPr>
                <w:i/>
                <w:iCs/>
              </w:rPr>
              <w:t xml:space="preserve"> andata in onda l’11 maggio 2012 (…) inviandogli una mail dal suo indirizzo privato di posta elettronica (…). Si incontrarono di persona il 24 ottobre 2012 a Metz. Il 26 ottobre 2012 E.P. chiese al ricorrente di creare un nuovo indirizzo di posta elettronica nel quale collocare le [pertinenti] fotografie nella cartella ‘bozze’, comunicandogli al contempo </w:t>
            </w:r>
            <w:r w:rsidRPr="00C969C1">
              <w:rPr>
                <w:i/>
                <w:iCs/>
              </w:rPr>
              <w:lastRenderedPageBreak/>
              <w:t>l’indirizzo e la password con in altri mezzi e consentendogli così di prelevarle direttamente dall’account Gmail.</w:t>
            </w:r>
            <w:r w:rsidRPr="00C969C1">
              <w:rPr>
                <w:i/>
                <w:iCs/>
              </w:rPr>
              <w:br/>
              <w:t>Dalle indagini risulta che i documenti furono inviati nel periodo compreso tra il 26 ottobre 2012 e la metà di dicembre 2012.</w:t>
            </w:r>
            <w:r w:rsidRPr="00C969C1">
              <w:rPr>
                <w:i/>
                <w:iCs/>
              </w:rPr>
              <w:br/>
              <w:t>I giudici di primo grado avevano pertanto correttamente ritenuto che la sottrazione dei dati digitali fosse avvenuta quando essi erano stati allegati alle bozze delle diverse email, poiché era stato allora che essi erano stati trasferiti fuori del possesso della PwC, ovvero dal server di quest’ultima al server di posta elettronica dove erano accessibili soltanto alle persone che conoscevano la password ovvero E.P. e Raphaël David </w:t>
            </w:r>
            <w:bookmarkStart w:id="26" w:name="hitd0p132"/>
            <w:proofErr w:type="spellStart"/>
            <w:r w:rsidRPr="00C969C1">
              <w:rPr>
                <w:i/>
                <w:iCs/>
              </w:rPr>
              <w:t>Halet</w:t>
            </w:r>
            <w:bookmarkEnd w:id="26"/>
            <w:proofErr w:type="spellEnd"/>
            <w:r w:rsidRPr="00C969C1">
              <w:rPr>
                <w:i/>
                <w:iCs/>
              </w:rPr>
              <w:t>.</w:t>
            </w:r>
            <w:r w:rsidRPr="00C969C1">
              <w:rPr>
                <w:i/>
                <w:iCs/>
              </w:rPr>
              <w:br/>
              <w:t>(...)”</w:t>
            </w:r>
            <w:r w:rsidRPr="00C969C1">
              <w:rPr>
                <w:i/>
                <w:iCs/>
              </w:rPr>
              <w:br/>
              <w:t>28. Quanto alla violazione del segreto commerciale, la Corte di appello, sulla base del seguente ragionamento, concluse che nel caso del ricorrente tale reato non era stato dimostrato:</w:t>
            </w:r>
            <w:r w:rsidRPr="00C969C1">
              <w:rPr>
                <w:i/>
                <w:iCs/>
              </w:rPr>
              <w:br/>
              <w:t>“(...)</w:t>
            </w:r>
            <w:r w:rsidRPr="00C969C1">
              <w:rPr>
                <w:i/>
                <w:iCs/>
              </w:rPr>
              <w:br/>
              <w:t>La dichiarazione dei redditi rappresenta un atto giuridico informativo (…) con il quale il contribuente comunica alle autorità fiscali dati come base imponibile. Attraverso tale dichiarazione, che costituisce il vero punto di partenza della procedura di imposizione, il contribuente informa le autorità fiscali circa le operazioni, i fatti materiali e le situazioni giuridiche che lo riguardano, informazioni necessarie per determinare l’ammontare delle imposte da versare e consentire i controlli delle autorità. La dichiarazione dei redditi, inoltre, informa le autorità circa le strategie fiscali adottate dal contribuente e costituisce un’autentica dichiarazione di intenti poiché formula richieste di detrazioni e di applicazione delle varie opzioni fiscali previste dalla legge (…)</w:t>
            </w:r>
            <w:r w:rsidRPr="00C969C1">
              <w:rPr>
                <w:i/>
                <w:iCs/>
              </w:rPr>
              <w:br/>
              <w:t>Quando Raphaël David </w:t>
            </w:r>
            <w:bookmarkStart w:id="27" w:name="hitd0p136"/>
            <w:proofErr w:type="spellStart"/>
            <w:r w:rsidRPr="00C969C1">
              <w:rPr>
                <w:i/>
                <w:iCs/>
              </w:rPr>
              <w:t>Halet</w:t>
            </w:r>
            <w:bookmarkEnd w:id="27"/>
            <w:proofErr w:type="spellEnd"/>
            <w:r w:rsidRPr="00C969C1">
              <w:rPr>
                <w:i/>
                <w:iCs/>
              </w:rPr>
              <w:t> ha trasmesso le quattordici dichiarazioni dei redditi dei clienti della PwC e le due lettere, non ha divulgato dati che devono essere considerati segreti commerciali o di fabbricazione appartenenti al suo datore di lavoro ai sensi dell’articolo 309 del codice penale, poiché le dichiarazioni dei redditi costituiscono semplici dichiarazioni unilaterali del contribuente relative alla propria situazione finanziaria e alle proprie strategie fiscali.</w:t>
            </w:r>
            <w:r w:rsidRPr="00C969C1">
              <w:rPr>
                <w:i/>
                <w:iCs/>
              </w:rPr>
              <w:br/>
              <w:t>Inoltre, al pari di A.D., Raphaël David </w:t>
            </w:r>
            <w:bookmarkStart w:id="28" w:name="hitd0p140"/>
            <w:proofErr w:type="spellStart"/>
            <w:r w:rsidRPr="00C969C1">
              <w:rPr>
                <w:i/>
                <w:iCs/>
              </w:rPr>
              <w:t>Halet</w:t>
            </w:r>
            <w:bookmarkEnd w:id="28"/>
            <w:proofErr w:type="spellEnd"/>
            <w:r w:rsidRPr="00C969C1">
              <w:rPr>
                <w:i/>
                <w:iCs/>
              </w:rPr>
              <w:t> non ha agito a fini di profitto o per danneggiare il suo datore di lavoro, ma per supportare l’inchiesta di E.P. sull’evasione fiscale e per informare il pubblico.</w:t>
            </w:r>
            <w:r w:rsidRPr="00C969C1">
              <w:rPr>
                <w:i/>
                <w:iCs/>
              </w:rPr>
              <w:br/>
              <w:t>(...)”</w:t>
            </w:r>
            <w:r w:rsidRPr="00C969C1">
              <w:rPr>
                <w:i/>
                <w:iCs/>
              </w:rPr>
              <w:br/>
              <w:t>29. In ordine alla violazione del segreto professionale, la Corte di appello ha ritenuto quanto segue:</w:t>
            </w:r>
            <w:r w:rsidRPr="00C969C1">
              <w:rPr>
                <w:i/>
                <w:iCs/>
              </w:rPr>
              <w:br/>
              <w:t>“(...)</w:t>
            </w:r>
            <w:r w:rsidRPr="00C969C1">
              <w:rPr>
                <w:i/>
                <w:iCs/>
              </w:rPr>
              <w:br/>
              <w:t>Come osservato sopra, il segreto nelle professioni disciplinate dalla legge, con riferimento all’articolo 458 del codice penale, è una questione di ordine pubblico e il datore di lavoro, pertanto, può invocarlo non soltanto dinanzi ai tribunali del lavoro ma anche dinanzi a qualsiasi tribunale penale (…)</w:t>
            </w:r>
            <w:r w:rsidRPr="00C969C1">
              <w:rPr>
                <w:i/>
                <w:iCs/>
              </w:rPr>
              <w:br/>
              <w:t xml:space="preserve">Istituito con una legge speciale che disciplina [la] professione, il segreto professionale ha una portata più ampia della tutela della vita privata di una determinata persona ed è destinato a tutelare tutti coloro che eventualmente entrano in contatto con il professionista. Tale fiducia è essenziale per il corretto funzionamento della professione di revisore e di contabile e non può essere pienamente garantita qualora il diretto corrispondente del cliente sia l’unica persona tenuta </w:t>
            </w:r>
            <w:r w:rsidRPr="00C969C1">
              <w:rPr>
                <w:i/>
                <w:iCs/>
              </w:rPr>
              <w:lastRenderedPageBreak/>
              <w:t>al segreto, mentre tutti gli altri dipendenti e l’archivista che gestisce tutta documentazione non lo sono.</w:t>
            </w:r>
            <w:r w:rsidRPr="00C969C1">
              <w:rPr>
                <w:i/>
                <w:iCs/>
              </w:rPr>
              <w:br/>
              <w:t>L’obbligo del segreto, che è una questione di ordine pubblico, è generale e si estende a tutte le attività del revisore (…)</w:t>
            </w:r>
            <w:r w:rsidRPr="00C969C1">
              <w:rPr>
                <w:i/>
                <w:iCs/>
              </w:rPr>
              <w:br/>
              <w:t>Stabilendo il segreto come regola generale da applicarsi ai dipendenti e all’insieme delle informazioni loro affidate, il legislatore ha esteso l’obbligo del segreto a tutte le persone impiegate in suddette società, qualunque sia il loro livello professionale, e a tutte le attività della società; la legge non opera distinzioni sulla base del tipo di compito affidato alla società di revisione.</w:t>
            </w:r>
            <w:r w:rsidRPr="00C969C1">
              <w:rPr>
                <w:i/>
                <w:iCs/>
              </w:rPr>
              <w:br/>
              <w:t>Poiché l’articolo 22 della summenzionata legge del 18 dicembre 2009 si riferisce senza distinzioni a tutte le informazioni affidate alla società del revisore, esso comprende necessariamente i documenti creati da quest’ultimo come le dichiarazioni dei redditi.</w:t>
            </w:r>
            <w:r w:rsidRPr="00C969C1">
              <w:rPr>
                <w:i/>
                <w:iCs/>
              </w:rPr>
              <w:br/>
              <w:t>(...)</w:t>
            </w:r>
            <w:r w:rsidRPr="00C969C1">
              <w:rPr>
                <w:i/>
                <w:iCs/>
              </w:rPr>
              <w:br/>
              <w:t>È perciò irrilevante il fatto che Raphaël David </w:t>
            </w:r>
            <w:bookmarkStart w:id="29" w:name="hitd0p144"/>
            <w:proofErr w:type="spellStart"/>
            <w:r w:rsidRPr="00C969C1">
              <w:rPr>
                <w:i/>
                <w:iCs/>
              </w:rPr>
              <w:t>Halet</w:t>
            </w:r>
            <w:bookmarkEnd w:id="29"/>
            <w:proofErr w:type="spellEnd"/>
            <w:r w:rsidRPr="00C969C1">
              <w:rPr>
                <w:i/>
                <w:iCs/>
              </w:rPr>
              <w:t> abbia fraudolentemente sottratto le dichiarazioni dei redditi elaborate da un altro ufficio, ovvero, in altre parole, dei segreti che non erano stati affidati a lui personalmente, poiché il segreto era in generale necessario all’esercizio delle attività del suo datore di lavoro.</w:t>
            </w:r>
            <w:r w:rsidRPr="00C969C1">
              <w:rPr>
                <w:i/>
                <w:iCs/>
              </w:rPr>
              <w:br/>
              <w:t>In questo caso, le rivelazioni hanno avuto luogo con la comunicazione a E.P., nel periodo compreso tra ottobre 2012 e dicembre 2012, di quattordici dichiarazioni dei redditi, e precisamente nel momento in cui Raphaël David </w:t>
            </w:r>
            <w:bookmarkStart w:id="30" w:name="hitd0p148"/>
            <w:proofErr w:type="spellStart"/>
            <w:r w:rsidRPr="00C969C1">
              <w:rPr>
                <w:i/>
                <w:iCs/>
              </w:rPr>
              <w:t>Halet</w:t>
            </w:r>
            <w:bookmarkEnd w:id="30"/>
            <w:proofErr w:type="spellEnd"/>
            <w:r w:rsidRPr="00C969C1">
              <w:rPr>
                <w:i/>
                <w:iCs/>
              </w:rPr>
              <w:t> ha comunicato la password della casella di posta elettronica a E.P.</w:t>
            </w:r>
            <w:r w:rsidRPr="00C969C1">
              <w:rPr>
                <w:i/>
                <w:iCs/>
              </w:rPr>
              <w:br/>
              <w:t>(...)</w:t>
            </w:r>
            <w:r w:rsidRPr="00C969C1">
              <w:rPr>
                <w:i/>
                <w:iCs/>
              </w:rPr>
              <w:br/>
              <w:t>La sentenza su tale punto è dunque confermata.</w:t>
            </w:r>
            <w:r w:rsidRPr="00C969C1">
              <w:rPr>
                <w:i/>
                <w:iCs/>
              </w:rPr>
              <w:br/>
              <w:t>(...)”</w:t>
            </w:r>
            <w:r w:rsidRPr="00C969C1">
              <w:rPr>
                <w:i/>
                <w:iCs/>
              </w:rPr>
              <w:br/>
              <w:t>30. La Corte di appello esaminò anche la questione di sapere se si potesse ritenere che i reati commessi, che in linea di principio dovevano essere considerati dimostrati, fossero giustificati ai sensi dell’articolo 10 della Convenzione. Per quanto riguardava E.P. ritenne che fosse corretto riconoscere che egli godeva della “difesa del giornalismo responsabile” derivante, secondo la giurisprudenza della Corte, dall’articolo 10 della Convenzione, motivo per il quale essa confermò la sua piena assoluzione.</w:t>
            </w:r>
            <w:r w:rsidRPr="00C969C1">
              <w:rPr>
                <w:i/>
                <w:iCs/>
              </w:rPr>
              <w:br/>
              <w:t xml:space="preserve">31. Esaminò la situazione di A.D. e del ricorrente alla luce della giurisprudenza della Corte sulla protezione degli autori di segnalazioni di illeciti o irregolarità (facendo riferimento, in particolare, alla causa </w:t>
            </w:r>
            <w:proofErr w:type="spellStart"/>
            <w:r w:rsidRPr="00C969C1">
              <w:rPr>
                <w:i/>
                <w:iCs/>
              </w:rPr>
              <w:t>Guja</w:t>
            </w:r>
            <w:proofErr w:type="spellEnd"/>
            <w:r w:rsidRPr="00C969C1">
              <w:rPr>
                <w:i/>
                <w:iCs/>
              </w:rPr>
              <w:t xml:space="preserve"> c. Moldova [GC], n. 14277/04, CEDU 2008). Ribadì che tale giurisprudenza subordinava la protezione degli autori di segnalazioni al rispetto di sei condizioni che procedeva poi ad analizzare, dopo aver affermato che “l’illiceità della condotta divulgata non è un criterio per decidere se concedere lo status protettivo di autore di segnalazioni di illeciti o irregolarità; nel caso il membro del personale che denuncia una grave manchevolezza può invocare la tutela della Convenzione”.</w:t>
            </w:r>
            <w:r w:rsidRPr="00C969C1">
              <w:rPr>
                <w:i/>
                <w:iCs/>
              </w:rPr>
              <w:br/>
              <w:t>32. Pronunciandosi in ordine ai suddetti sei criteri, la Corte di appello ritenne, in primo luogo, che le rivelazioni lamentate fossero di interesse pubblico poiché “avevano aperto la strada al dibattito pubblico in Europa e nel </w:t>
            </w:r>
            <w:bookmarkStart w:id="31" w:name="hitd0p152"/>
            <w:r w:rsidRPr="00C969C1">
              <w:rPr>
                <w:i/>
                <w:iCs/>
              </w:rPr>
              <w:t>Lussemburgo</w:t>
            </w:r>
            <w:bookmarkEnd w:id="31"/>
            <w:r w:rsidRPr="00C969C1">
              <w:rPr>
                <w:i/>
                <w:iCs/>
              </w:rPr>
              <w:t xml:space="preserve"> sulla tassazione (…) delle società multinazionali, sulla trasparenza fiscale, sulla pratica degli ATA e sull’equità fiscale in generale”. Osservò inoltre che a </w:t>
            </w:r>
            <w:r w:rsidRPr="00C969C1">
              <w:rPr>
                <w:i/>
                <w:iCs/>
              </w:rPr>
              <w:lastRenderedPageBreak/>
              <w:t xml:space="preserve">seguito delle rivelazioni dello scandalo </w:t>
            </w:r>
            <w:proofErr w:type="spellStart"/>
            <w:r w:rsidRPr="00C969C1">
              <w:rPr>
                <w:i/>
                <w:iCs/>
              </w:rPr>
              <w:t>Luxleaks</w:t>
            </w:r>
            <w:proofErr w:type="spellEnd"/>
            <w:r w:rsidRPr="00C969C1">
              <w:rPr>
                <w:i/>
                <w:iCs/>
              </w:rPr>
              <w:t xml:space="preserve"> la Commissione europea aveva presentato un pacchetto di misure contro l’evasione fiscale e un piano di azione per una tassazione equa ed efficace delle imprese nell’Unione europea. In proposito le pertinenti parti della sentenza recitano:</w:t>
            </w:r>
            <w:r w:rsidRPr="00C969C1">
              <w:rPr>
                <w:i/>
                <w:iCs/>
              </w:rPr>
              <w:br/>
              <w:t>“In ordine al criterio dell’interesse pubblico presentato dalle informazioni (…)</w:t>
            </w:r>
            <w:r w:rsidRPr="00C969C1">
              <w:rPr>
                <w:i/>
                <w:iCs/>
              </w:rPr>
              <w:br/>
              <w:t>La Corte europea considera di interesse pubblico o interesse generale le questioni di grande importanza in una società democratica che il pubblico ha un legittimo interesse a conoscere e che rientrano nell’ambito del dibattito politico, senza che l’atto, l’omissione, la pratica, la condotta o la manchevolezza necessariamente costituiscano reato.</w:t>
            </w:r>
            <w:r w:rsidRPr="00C969C1">
              <w:rPr>
                <w:i/>
                <w:iCs/>
              </w:rPr>
              <w:br/>
              <w:t>Come osservato dal rappresentante del pubblico ministero, la denuncia della pratica dell’ottimizzazione fiscale da parte delle società transnazionali solleva una questione importante nel quadro del dibattito sull’osservanza del principio della parità di trattamento dei contribuenti e sulla trasparenza fiscale. Le rivelazioni hanno messo in luce le distorsioni della concorrenza (…) tra le società transnazionali che si avvalgono degli ATA e le piccole società nazionali che non ne beneficiano.</w:t>
            </w:r>
            <w:r w:rsidRPr="00C969C1">
              <w:rPr>
                <w:i/>
                <w:iCs/>
              </w:rPr>
              <w:br/>
              <w:t>I mezzi di informazione europei hanno ampiamente trattato e tuttora trattano le suddette rivelazioni e la Commissione europea ha fatto della lotta alle frodi e all’evasione fiscale una priorità assoluta. In particolare, a seguito delle rivelazioni dello scandalo LuxLeaks, la Commissione ha presentato un pacchetto di misure contro l’evasione fiscale e un altro pacchetto sulla trasparenza fiscale, nonché un piano d’azione per la tassazione equa ed efficace delle imprese nell’Unione europea. Il 18 marzo 2015 ha presentato una proposta per una direttiva modificativa sullo scambio obbligatorio di informazioni nel settore fiscale.</w:t>
            </w:r>
            <w:r w:rsidRPr="00C969C1">
              <w:rPr>
                <w:i/>
                <w:iCs/>
              </w:rPr>
              <w:br/>
              <w:t>In data 8 dicembre 2015 il Consiglio [dell’Unione europea] ha presentato la direttiva (UE) 2015/2376 che modifica la direttiva 2011/16/UE per quanto riguarda lo scambio automatico obbligatorio di informazioni nel settore fiscale così da comprendere da quel momento in poi le decisioni fiscali anticipate.</w:t>
            </w:r>
            <w:r w:rsidRPr="00C969C1">
              <w:rPr>
                <w:i/>
                <w:iCs/>
              </w:rPr>
              <w:br/>
              <w:t>Tenuto conto di tali elementi, delle iniziative adottate a livello nazionale dagli Stati membri, a livello europeo da varie commissioni (la Commissione TAX e la Commissione JURI) e delle inchieste avviate dalla Commissione sul trattamento fiscale accordato dal </w:t>
            </w:r>
            <w:bookmarkStart w:id="32" w:name="hitd0p156"/>
            <w:r w:rsidRPr="00C969C1">
              <w:rPr>
                <w:i/>
                <w:iCs/>
              </w:rPr>
              <w:t>Lussemburgo</w:t>
            </w:r>
            <w:bookmarkEnd w:id="32"/>
            <w:r w:rsidRPr="00C969C1">
              <w:rPr>
                <w:i/>
                <w:iCs/>
              </w:rPr>
              <w:t> a certe società multinazionali (che è stato classificato come aiuto di Stato che accordava alle società beneficiarie vantaggi ingiustificati) è un fatto acquisito che le rivelazioni hanno aperto la strada al dibattito pubblico in Europa e nel </w:t>
            </w:r>
            <w:bookmarkStart w:id="33" w:name="hitd0p160"/>
            <w:r w:rsidRPr="00C969C1">
              <w:rPr>
                <w:i/>
                <w:iCs/>
              </w:rPr>
              <w:t>Lussemburgo</w:t>
            </w:r>
            <w:bookmarkEnd w:id="33"/>
            <w:r w:rsidRPr="00C969C1">
              <w:rPr>
                <w:i/>
                <w:iCs/>
              </w:rPr>
              <w:t> sulla tassazione societaria, in particolare delle società multinazionali, sulla trasparenza fiscale, sulla pratica degli ATA e sull’equità fiscale in generale.</w:t>
            </w:r>
            <w:r w:rsidRPr="00C969C1">
              <w:rPr>
                <w:i/>
                <w:iCs/>
              </w:rPr>
              <w:br/>
              <w:t>Le informazioni rese pubbliche, pertanto, sono di interesse generale.”</w:t>
            </w:r>
            <w:r w:rsidRPr="00C969C1">
              <w:rPr>
                <w:i/>
                <w:iCs/>
              </w:rPr>
              <w:br/>
              <w:t>33. La Corte di appello ritenne inoltre che le informazioni divulgate fossero autentiche e precisò che “non si possono mettere in dubbio l’accuratezza e l’autenticità dei documenti rivelati sia da E.P. che da Raphaël David </w:t>
            </w:r>
            <w:bookmarkStart w:id="34" w:name="hitd0p164"/>
            <w:proofErr w:type="spellStart"/>
            <w:r w:rsidRPr="00C969C1">
              <w:rPr>
                <w:i/>
                <w:iCs/>
              </w:rPr>
              <w:t>Halet</w:t>
            </w:r>
            <w:bookmarkEnd w:id="34"/>
            <w:proofErr w:type="spellEnd"/>
            <w:r w:rsidRPr="00C969C1">
              <w:rPr>
                <w:i/>
                <w:iCs/>
              </w:rPr>
              <w:t>”.</w:t>
            </w:r>
            <w:r w:rsidRPr="00C969C1">
              <w:rPr>
                <w:i/>
                <w:iCs/>
              </w:rPr>
              <w:br/>
              <w:t xml:space="preserve">34. In ordine al criterio secondo il quale la rivelazione delle informazioni al pubblico poteva essere presa in considerazione soltanto come </w:t>
            </w:r>
            <w:proofErr w:type="spellStart"/>
            <w:r w:rsidRPr="00C969C1">
              <w:rPr>
                <w:i/>
                <w:iCs/>
              </w:rPr>
              <w:t>extrema</w:t>
            </w:r>
            <w:proofErr w:type="spellEnd"/>
            <w:r w:rsidRPr="00C969C1">
              <w:rPr>
                <w:i/>
                <w:iCs/>
              </w:rPr>
              <w:t xml:space="preserve"> ratio, qualora fosse chiaramente impossibile agire diversamente, essa ritenne che </w:t>
            </w:r>
            <w:proofErr w:type="gramStart"/>
            <w:r w:rsidRPr="00C969C1">
              <w:rPr>
                <w:i/>
                <w:iCs/>
              </w:rPr>
              <w:t>“ tenuto</w:t>
            </w:r>
            <w:proofErr w:type="gramEnd"/>
            <w:r w:rsidRPr="00C969C1">
              <w:rPr>
                <w:i/>
                <w:iCs/>
              </w:rPr>
              <w:t xml:space="preserve"> conto delle circostanze, informare il pubblico attraverso i mezzi di comunicazione in questo caso fosse l’unica alternativa realistica per lanciare l’allarme”.</w:t>
            </w:r>
            <w:r w:rsidRPr="00C969C1">
              <w:rPr>
                <w:i/>
                <w:iCs/>
              </w:rPr>
              <w:br/>
              <w:t xml:space="preserve">35. Pronunciandosi poi sul rilievo del pubblico ministero secondo il quale i documenti consegnati </w:t>
            </w:r>
            <w:r w:rsidRPr="00C969C1">
              <w:rPr>
                <w:i/>
                <w:iCs/>
              </w:rPr>
              <w:lastRenderedPageBreak/>
              <w:t>dal ricorrente a E.P. erano di scarsa rilevanza e quindi egli non aveva rispettato il criterio della sussidiarietà, la Corte di appello ritenne che tale questione dovesse essere esaminata nel quadro della ponderazione degli interessi in gioco. Al riguardo sottolineò che mediante “i criteri del ‘danno provocato’ e del ‘bilanciamento dei rispettivi interessi’, la Corte valuta i danni provocati dalle contestate rivelazioni rispettivamente all’autorità pubblica o al datore di lavoro privato in rapporto all’interesse che il pubblico potrebbe avere a ottenere le informazioni divulgate”. Su tali diversi punti la Corte di appello enunciò i seguenti rilievi:</w:t>
            </w:r>
            <w:r w:rsidRPr="00C969C1">
              <w:rPr>
                <w:i/>
                <w:iCs/>
              </w:rPr>
              <w:br/>
              <w:t>“(...)</w:t>
            </w:r>
            <w:r w:rsidRPr="00C969C1">
              <w:rPr>
                <w:i/>
                <w:iCs/>
              </w:rPr>
              <w:br/>
              <w:t>Come indicato sopra, la Corte europea non analizza il danno subito in termini specifici, ma ritiene che il danno provocato al datore di lavoro possa derivare da una lesione dell’immagine, dalla perdita della fiducia, e in generale dall’impatto che la denuncia può produrre sul pubblico. Tanto maggiore è la copertura mediatica del caso, e quindi delle informazioni che il datore di lavoro intendeva restassero segrete, tanto maggiore è la compromissione della fiducia del pubblico.</w:t>
            </w:r>
            <w:r w:rsidRPr="00C969C1">
              <w:rPr>
                <w:i/>
                <w:iCs/>
              </w:rPr>
              <w:br/>
              <w:t>Nel caso di specie la PwC è stata associata alla pratica dell’evasione fiscale, quando non a un’ottimizzazione fiscale descritta come inaccettabile. È stata vittima di reati e ha necessariamente subito un danno.</w:t>
            </w:r>
            <w:r w:rsidRPr="00C969C1">
              <w:rPr>
                <w:i/>
                <w:iCs/>
              </w:rPr>
              <w:br/>
              <w:t>Risulta dalle dichiarazioni di Raphaël David </w:t>
            </w:r>
            <w:bookmarkStart w:id="35" w:name="hitd0p168"/>
            <w:proofErr w:type="spellStart"/>
            <w:r w:rsidRPr="00C969C1">
              <w:rPr>
                <w:i/>
                <w:iCs/>
              </w:rPr>
              <w:t>Halet</w:t>
            </w:r>
            <w:bookmarkEnd w:id="35"/>
            <w:proofErr w:type="spellEnd"/>
            <w:r w:rsidRPr="00C969C1">
              <w:rPr>
                <w:i/>
                <w:iCs/>
              </w:rPr>
              <w:t> nel corso dell’indagine e delle udienze dinanzi al tribunale penale che egli non aveva selezionato le dichiarazioni dei redditi per integrare gli ATA già in possesso di E.P., illustrando così come gli ATA fossero recepiti nelle [corrispondenti] dichiarazioni dei redditi, bensì, al contrario, che le sue scelte fossero state determinate dal grado di notorietà delle società multinazionali in questione.</w:t>
            </w:r>
            <w:r w:rsidRPr="00C969C1">
              <w:rPr>
                <w:i/>
                <w:iCs/>
              </w:rPr>
              <w:br/>
              <w:t>(...)</w:t>
            </w:r>
            <w:r w:rsidRPr="00C969C1">
              <w:rPr>
                <w:i/>
                <w:iCs/>
              </w:rPr>
              <w:br/>
              <w:t xml:space="preserve">I documenti forniti non consentivano di illustrare la pratica degli ATA o di fornirne qualche esempio, né di accertare l’atteggiamento dell’amministrazione delle imposte dirette nei confronti di tali dichiarazioni dei redditi. La loro rilevanza era limitata visto che la pratica degli ATA era stata rivelata dai documenti forniti da A.D. nella prima puntata del programma Cash </w:t>
            </w:r>
            <w:proofErr w:type="spellStart"/>
            <w:r w:rsidRPr="00C969C1">
              <w:rPr>
                <w:i/>
                <w:iCs/>
              </w:rPr>
              <w:t>Investigation</w:t>
            </w:r>
            <w:proofErr w:type="spellEnd"/>
            <w:r w:rsidRPr="00C969C1">
              <w:rPr>
                <w:i/>
                <w:iCs/>
              </w:rPr>
              <w:t xml:space="preserve"> l’anno precedente, cosa che Raphaël David </w:t>
            </w:r>
            <w:bookmarkStart w:id="36" w:name="hitd0p172"/>
            <w:proofErr w:type="spellStart"/>
            <w:r w:rsidRPr="00C969C1">
              <w:rPr>
                <w:i/>
                <w:iCs/>
              </w:rPr>
              <w:t>Halet</w:t>
            </w:r>
            <w:bookmarkEnd w:id="36"/>
            <w:proofErr w:type="spellEnd"/>
            <w:r w:rsidRPr="00C969C1">
              <w:rPr>
                <w:i/>
                <w:iCs/>
              </w:rPr>
              <w:t>, che aveva visto il programma, sapeva. Di conseguenza egli sapeva che un giornalista investigativo aveva approfondito l’argomento e vi era stato un contributo al dibattito pubblico.</w:t>
            </w:r>
            <w:r w:rsidRPr="00C969C1">
              <w:rPr>
                <w:i/>
                <w:iCs/>
              </w:rPr>
              <w:br/>
              <w:t>La Corte europea in generale attribuisce grande importanza al fatto che le informazioni rivelate fossero realmente segrete al punto da non poter essere ottenute attraverso nessun altro canale. Ritiene che una protezione sia necessaria qualora il dipendente privato o pubblico in questione sia l’unica persona, o faccia parte di un esiguo gruppo di persone, a conoscenza di quanto accade al lavoro e quindi sia la persona più idonea ad agire nell’interesse pubblico avvertendo il datore di lavoro o l’opinione pubblica (</w:t>
            </w:r>
            <w:proofErr w:type="spellStart"/>
            <w:r w:rsidRPr="00C969C1">
              <w:rPr>
                <w:i/>
                <w:iCs/>
              </w:rPr>
              <w:t>Guja</w:t>
            </w:r>
            <w:proofErr w:type="spellEnd"/>
            <w:r w:rsidRPr="00C969C1">
              <w:rPr>
                <w:i/>
                <w:iCs/>
              </w:rPr>
              <w:t>, § 72, e Heinisch, § 63).</w:t>
            </w:r>
            <w:r w:rsidRPr="00C969C1">
              <w:rPr>
                <w:i/>
                <w:iCs/>
              </w:rPr>
              <w:br/>
              <w:t xml:space="preserve">Alla luce del numero dei documenti sottratti l’anno precedente e della trasmissione del programma Cash </w:t>
            </w:r>
            <w:proofErr w:type="spellStart"/>
            <w:r w:rsidRPr="00C969C1">
              <w:rPr>
                <w:i/>
                <w:iCs/>
              </w:rPr>
              <w:t>Investigation</w:t>
            </w:r>
            <w:proofErr w:type="spellEnd"/>
            <w:r w:rsidRPr="00C969C1">
              <w:rPr>
                <w:i/>
                <w:iCs/>
              </w:rPr>
              <w:t xml:space="preserve"> non sussistevano motivi impellenti che imponessero a Raphaël David </w:t>
            </w:r>
            <w:bookmarkStart w:id="37" w:name="hitd0p176"/>
            <w:proofErr w:type="spellStart"/>
            <w:r w:rsidRPr="00C969C1">
              <w:rPr>
                <w:i/>
                <w:iCs/>
              </w:rPr>
              <w:t>Halet</w:t>
            </w:r>
            <w:bookmarkEnd w:id="37"/>
            <w:proofErr w:type="spellEnd"/>
            <w:r w:rsidRPr="00C969C1">
              <w:rPr>
                <w:i/>
                <w:iCs/>
              </w:rPr>
              <w:t> di commettere una nuova violazione della legge sottraendo e divulgando documenti riservati, in particolare poiché le quattordici dichiarazioni dei redditi in questione non rivelavano nulla di nuovo sulla pratica degli ATA, su quanti essi fossero o sulla tecnica di ottimizzazione fiscale.</w:t>
            </w:r>
            <w:r w:rsidRPr="00C969C1">
              <w:rPr>
                <w:i/>
                <w:iCs/>
              </w:rPr>
              <w:br/>
              <w:t>I documenti sottratti da Raphaël David </w:t>
            </w:r>
            <w:bookmarkStart w:id="38" w:name="hitd0p180"/>
            <w:proofErr w:type="spellStart"/>
            <w:r w:rsidRPr="00C969C1">
              <w:rPr>
                <w:i/>
                <w:iCs/>
              </w:rPr>
              <w:t>Halet</w:t>
            </w:r>
            <w:bookmarkEnd w:id="38"/>
            <w:proofErr w:type="spellEnd"/>
            <w:r w:rsidRPr="00C969C1">
              <w:rPr>
                <w:i/>
                <w:iCs/>
              </w:rPr>
              <w:t xml:space="preserve"> sono stati utilizzati da E.P. nell’ambito della seconda </w:t>
            </w:r>
            <w:r w:rsidRPr="00C969C1">
              <w:rPr>
                <w:i/>
                <w:iCs/>
              </w:rPr>
              <w:lastRenderedPageBreak/>
              <w:t xml:space="preserve">puntata del programma Cash </w:t>
            </w:r>
            <w:proofErr w:type="spellStart"/>
            <w:r w:rsidRPr="00C969C1">
              <w:rPr>
                <w:i/>
                <w:iCs/>
              </w:rPr>
              <w:t>Investigation</w:t>
            </w:r>
            <w:proofErr w:type="spellEnd"/>
            <w:r w:rsidRPr="00C969C1">
              <w:rPr>
                <w:i/>
                <w:iCs/>
              </w:rPr>
              <w:t xml:space="preserve"> che si concentrava sull’evasione fiscale e sui ‘miliardi che ci mancano’ e non già sulla pratica degli ATA.</w:t>
            </w:r>
            <w:r w:rsidRPr="00C969C1">
              <w:rPr>
                <w:i/>
                <w:iCs/>
              </w:rPr>
              <w:br/>
              <w:t>Tale puntata era divisa in tre parti: (…) la seconda parte riguardava l’evasione fiscale di tre società multinazionali che hanno filiali in Francia: (…)</w:t>
            </w:r>
            <w:r w:rsidRPr="00C969C1">
              <w:rPr>
                <w:i/>
                <w:iCs/>
              </w:rPr>
              <w:br/>
              <w:t>Per illustrare l’evasione fiscale praticata da queste società multinazionali, che erano al centro del servizio, sono state mostrate, a titolo di esempio, le dichiarazioni dei redditi di A. e A.M.</w:t>
            </w:r>
            <w:r w:rsidRPr="00C969C1">
              <w:rPr>
                <w:i/>
                <w:iCs/>
              </w:rPr>
              <w:br/>
              <w:t>(...)</w:t>
            </w:r>
            <w:r w:rsidRPr="00C969C1">
              <w:rPr>
                <w:i/>
                <w:iCs/>
              </w:rPr>
              <w:br/>
              <w:t>Il giornalista nelle sue memorie difensive ha dichiarato che egli aveva dimostrato, proprio grazie alle dichiarazioni dei redditi (…) che le filiali lussemburghesi del gruppo A avevano un considerevole volume d’affari (…) ma che non vi era traccia di attività nella sede di tali filiali e che quando egli l’aveva visitata non era presente nessun alto dirigente. Il documentario rivela anche che, allo stesso tempo, le autorità fiscali francesi esigevano dal gruppo A. 198 milioni di euro di arretrati di imposta, benché A. al contempo beneficiasse di sovvenzioni pubbliche per installare siti logistici in Francia.</w:t>
            </w:r>
            <w:r w:rsidRPr="00C969C1">
              <w:rPr>
                <w:i/>
                <w:iCs/>
              </w:rPr>
              <w:br/>
              <w:t>Per quanto riguardava il gruppo A.M., durante il programma era stata mostrata la dichiarazione dell’IVA per il 2010 di una delle sue filiali per dimostrare, inter alia, che il gruppo A. si era servito di tale filiale per far rientrare, via </w:t>
            </w:r>
            <w:bookmarkStart w:id="39" w:name="hitd0p184"/>
            <w:r w:rsidRPr="00C969C1">
              <w:rPr>
                <w:i/>
                <w:iCs/>
              </w:rPr>
              <w:t>Lussemburgo</w:t>
            </w:r>
            <w:bookmarkEnd w:id="39"/>
            <w:r w:rsidRPr="00C969C1">
              <w:rPr>
                <w:i/>
                <w:iCs/>
              </w:rPr>
              <w:t>, 173 milioni di euro quale rimborso degli interessi su un prestito concesso alla filiale, che erano per quest’ultima fiscalmente deducibili (…) illustrando [così] la pratica del ‘nomadismo fiscale’ in relazione alla quale il </w:t>
            </w:r>
            <w:bookmarkStart w:id="40" w:name="hitd0p188"/>
            <w:r w:rsidRPr="00C969C1">
              <w:rPr>
                <w:i/>
                <w:iCs/>
              </w:rPr>
              <w:t>Lussemburgo</w:t>
            </w:r>
            <w:bookmarkEnd w:id="40"/>
            <w:r w:rsidRPr="00C969C1">
              <w:rPr>
                <w:i/>
                <w:iCs/>
              </w:rPr>
              <w:t> era soltanto un passaggio.</w:t>
            </w:r>
            <w:r w:rsidRPr="00C969C1">
              <w:rPr>
                <w:i/>
                <w:iCs/>
              </w:rPr>
              <w:br/>
              <w:t xml:space="preserve">[E.P.] a tale proposito durante il programma aveva sottolineato che il gruppo A. nel novembre 2012 aveva chiuso gli altiforni di </w:t>
            </w:r>
            <w:proofErr w:type="spellStart"/>
            <w:r w:rsidRPr="00C969C1">
              <w:rPr>
                <w:i/>
                <w:iCs/>
              </w:rPr>
              <w:t>Florange</w:t>
            </w:r>
            <w:proofErr w:type="spellEnd"/>
            <w:r w:rsidRPr="00C969C1">
              <w:rPr>
                <w:i/>
                <w:iCs/>
              </w:rPr>
              <w:t xml:space="preserve"> e licenziato 600 operai metallurgici con la promessa, mai mantenuta, di investire 180 milioni di euro per la riconversione del sito e che le autorità fiscali francesi, secondo quanto pubblicato dalla stampa chiedevano al gruppo A.M., quasi in miliardo di euro di arretrati.</w:t>
            </w:r>
            <w:r w:rsidRPr="00C969C1">
              <w:rPr>
                <w:i/>
                <w:iCs/>
              </w:rPr>
              <w:br/>
              <w:t>(...)</w:t>
            </w:r>
            <w:r w:rsidRPr="00C969C1">
              <w:rPr>
                <w:i/>
                <w:iCs/>
              </w:rPr>
              <w:br/>
              <w:t>Le informazioni relative alle prime due società possono essere considerate allarmanti e scandalose ma non costituiscono informazioni essenziali o fondamentalmente nuove.</w:t>
            </w:r>
            <w:r w:rsidRPr="00C969C1">
              <w:rPr>
                <w:i/>
                <w:iCs/>
              </w:rPr>
              <w:br/>
              <w:t>Le pertinenti dichiarazioni dei redditi (…) si sono limitate a confermare gli esiti dell’inchiesta giornalistica svolta dalla squadra di [E.P.] e perciò pur essendo certamente utili al giornalista, non avevano tuttavia fornito informazioni fondamentali e inedite in grado di rilanciare o contribuire al dibattito sull’evasione fiscale (…)</w:t>
            </w:r>
            <w:r w:rsidRPr="00C969C1">
              <w:rPr>
                <w:i/>
                <w:iCs/>
              </w:rPr>
              <w:br/>
              <w:t xml:space="preserve">Sebbene la Corte europea abbia ritenuto nella causa </w:t>
            </w:r>
            <w:proofErr w:type="spellStart"/>
            <w:r w:rsidRPr="00C969C1">
              <w:rPr>
                <w:i/>
                <w:iCs/>
              </w:rPr>
              <w:t>Fressoz</w:t>
            </w:r>
            <w:proofErr w:type="spellEnd"/>
            <w:r w:rsidRPr="00C969C1">
              <w:rPr>
                <w:i/>
                <w:iCs/>
              </w:rPr>
              <w:t xml:space="preserve"> e </w:t>
            </w:r>
            <w:proofErr w:type="spellStart"/>
            <w:r w:rsidRPr="00C969C1">
              <w:rPr>
                <w:i/>
                <w:iCs/>
              </w:rPr>
              <w:t>Roire</w:t>
            </w:r>
            <w:proofErr w:type="spellEnd"/>
            <w:r w:rsidRPr="00C969C1">
              <w:rPr>
                <w:i/>
                <w:iCs/>
              </w:rPr>
              <w:t xml:space="preserve"> che la pubblicazione della dichiarazione dei redditi dell’amministratore delegato di una società automobilistica fosse di interesse pubblico, essa ha osservato che tale interesse derivava dal fatto che ‘l’articolo era stato pubblicato nel corso di una vertenza industriale, ampiamente riportata dalla stampa, in atto in una delle maggiori fabbriche automobilistiche della Francia; [i] lavoratori chiedevano un aumento dei salari che la società, diretta da J.C., rifiutava di concedere’ (…) LA Corte europea aveva concluso che l’articolo contestato, proponendo tale confronto in un simile contesto, aveva contribuito al dibattito pubblico su una questione di interesse generale.</w:t>
            </w:r>
            <w:r w:rsidRPr="00C969C1">
              <w:rPr>
                <w:i/>
                <w:iCs/>
              </w:rPr>
              <w:br/>
              <w:t xml:space="preserve">Ne segue che la dichiarazione dei redditi non è di per sé di interesse pubblico ma può </w:t>
            </w:r>
            <w:proofErr w:type="spellStart"/>
            <w:r w:rsidRPr="00C969C1">
              <w:rPr>
                <w:i/>
                <w:iCs/>
              </w:rPr>
              <w:t>diventarlo</w:t>
            </w:r>
            <w:proofErr w:type="spellEnd"/>
            <w:r w:rsidRPr="00C969C1">
              <w:rPr>
                <w:i/>
                <w:iCs/>
              </w:rPr>
              <w:t xml:space="preserve"> a </w:t>
            </w:r>
            <w:r w:rsidRPr="00C969C1">
              <w:rPr>
                <w:i/>
                <w:iCs/>
              </w:rPr>
              <w:lastRenderedPageBreak/>
              <w:t>seconda del contesto.</w:t>
            </w:r>
            <w:r w:rsidRPr="00C969C1">
              <w:rPr>
                <w:i/>
                <w:iCs/>
              </w:rPr>
              <w:br/>
              <w:t>Pertanto, i documenti consegnati da Raphaël David </w:t>
            </w:r>
            <w:bookmarkStart w:id="41" w:name="hitd0p192"/>
            <w:proofErr w:type="spellStart"/>
            <w:r w:rsidRPr="00C969C1">
              <w:rPr>
                <w:i/>
                <w:iCs/>
              </w:rPr>
              <w:t>Halet</w:t>
            </w:r>
            <w:bookmarkEnd w:id="41"/>
            <w:proofErr w:type="spellEnd"/>
            <w:r w:rsidRPr="00C969C1">
              <w:rPr>
                <w:i/>
                <w:iCs/>
              </w:rPr>
              <w:t> al giornalista non avevano contribuito al dibattito pubblico sulla pratica lussemburghese degli ATA né avevano innescato il dibattito sull’evasione fiscale, o fornito informazioni essenziali, nuove e inedite.</w:t>
            </w:r>
            <w:r w:rsidRPr="00C969C1">
              <w:rPr>
                <w:i/>
                <w:iCs/>
              </w:rPr>
              <w:br/>
              <w:t>La Corte di appello ritiene che, data la limitata rilevanza dei documenti [che hanno provocato] un danno al suo datore di lavoro superiore all’interesse generale attraverso la loro divulgazione in un momento in cui il dibattito pubblico sugli ATA era già iniziato, e data l’assenza di [un contributo] al dibattito di interesse generale sull’evasione fiscale, Raphaël David </w:t>
            </w:r>
            <w:bookmarkStart w:id="42" w:name="hitd0p196"/>
            <w:proofErr w:type="spellStart"/>
            <w:r w:rsidRPr="00C969C1">
              <w:rPr>
                <w:i/>
                <w:iCs/>
              </w:rPr>
              <w:t>Halet</w:t>
            </w:r>
            <w:bookmarkEnd w:id="42"/>
            <w:proofErr w:type="spellEnd"/>
            <w:r w:rsidRPr="00C969C1">
              <w:rPr>
                <w:i/>
                <w:iCs/>
              </w:rPr>
              <w:t> non soddisfi il criterio di proporzionalità del danno provocato in rapporto all’interesse generale, motivo per il quale nel suo caso non si può riconoscergli la difesa della segnalazione di illeciti o irregolarità.</w:t>
            </w:r>
            <w:r w:rsidRPr="00C969C1">
              <w:rPr>
                <w:i/>
                <w:iCs/>
              </w:rPr>
              <w:br/>
              <w:t>(....)”</w:t>
            </w:r>
            <w:r w:rsidRPr="00C969C1">
              <w:rPr>
                <w:i/>
                <w:iCs/>
              </w:rPr>
              <w:br/>
              <w:t xml:space="preserve">36. Dopo aver bilanciato gli interessi in gioco, la Corte di appello concluse che il ricorrente non poteva beneficiare della protezione completa dell’articolo 10 della Convenzione, ma soltanto, ai sensi del diritto lussemburghese, della concessione delle circostanze attenuanti. In proposito ritenne opportuno esaminare se egli avesse agito in </w:t>
            </w:r>
            <w:proofErr w:type="gramStart"/>
            <w:r w:rsidRPr="00C969C1">
              <w:rPr>
                <w:i/>
                <w:iCs/>
              </w:rPr>
              <w:t>buon fede</w:t>
            </w:r>
            <w:proofErr w:type="gramEnd"/>
            <w:r w:rsidRPr="00C969C1">
              <w:rPr>
                <w:i/>
                <w:iCs/>
              </w:rPr>
              <w:t xml:space="preserve"> concludendo in senso affermativo.</w:t>
            </w:r>
            <w:r w:rsidRPr="00C969C1">
              <w:rPr>
                <w:i/>
                <w:iCs/>
              </w:rPr>
              <w:br/>
              <w:t>37. In relazione a A.D., essa riconobbe che il criterio della buona fede era stato soddisfatto nell’estate del 2011, quando i documenti da lui sottratti a ottobre del 2010 erano stati consegnati al giornalista E.P., ma non quando egli si era impossessato dei documenti, dato che in quel momento non aveva ancora deciso di renderli pubblici.</w:t>
            </w:r>
            <w:r w:rsidRPr="00C969C1">
              <w:rPr>
                <w:i/>
                <w:iCs/>
              </w:rPr>
              <w:br/>
              <w:t>38. La Corte di appello concluse infine che A.D., che aveva il diritto di invocare la difesa della segnalazione di illeciti o irregolarità rispetto al reato consistito nella consegna dei documenti al giornalista E.P. nell’estate del 2011, doveva essere assolto dal reato di violazione del segreto professionale. Per quanto riguardava i reati non giustificati da tale difesa, ovvero quelli relativi alla sottrazione dei documenti avvenuta a ottobre 2010, la Corte di appello ridusse la pena detentiva, interamente sospesa, a sei mesi di reclusione, e confermò la multa di EUR 1.500.</w:t>
            </w:r>
            <w:r w:rsidRPr="00C969C1">
              <w:rPr>
                <w:i/>
                <w:iCs/>
              </w:rPr>
              <w:br/>
              <w:t>39. Nel caso del ricorrente, la Corte di appello ritenne che vi fosse stato concorso materiale di reati così che, ai sensi del diritto penale interno, la pena più severa poteva essere aumentata fino al doppio della pena massima, ovvero poteva essere costituita dalla reclusione per un periodo compreso tra tre mesi e cinque anni e da una multa compresa tra EUR 251 e EUR 5.000. Osservando inoltre che il ricorrente non aveva diritto alla difesa di avere agito in qualità di autore di segnalazioni di illeciti o irregolarità, decise però, nel fissare la pena, di tenere conto delle circostanze attenuanti, in particolare “delle motivazioni che egli riteneva onorevoli, della natura disinteressata dei suoi atti, e dell’assenza di precedenti penali”. Di conseguenza decise di non infliggere una pena detentiva e confermò la multa di EUR 1.000.</w:t>
            </w:r>
            <w:r w:rsidRPr="00C969C1">
              <w:rPr>
                <w:i/>
                <w:iCs/>
              </w:rPr>
              <w:br/>
              <w:t>40. La Corte di appello confermò la sentenza civile che condannava A.D. e il ricorrente a versare la somma simbolica di un euro quale risarcimento per il danno non patrimoniale subito dalla PwC.</w:t>
            </w:r>
            <w:r w:rsidRPr="00C969C1">
              <w:rPr>
                <w:i/>
                <w:iCs/>
              </w:rPr>
              <w:br/>
            </w:r>
            <w:proofErr w:type="gramStart"/>
            <w:r w:rsidRPr="00C969C1">
              <w:rPr>
                <w:i/>
                <w:iCs/>
              </w:rPr>
              <w:t>3.Le</w:t>
            </w:r>
            <w:proofErr w:type="gramEnd"/>
            <w:r w:rsidRPr="00C969C1">
              <w:rPr>
                <w:i/>
                <w:iCs/>
              </w:rPr>
              <w:t xml:space="preserve"> sentenze della Corte di cassazione nei confronti di A.D. e del ricorrente, e l’ulteriore procedimento nei confronti di A.D.</w:t>
            </w:r>
            <w:r w:rsidRPr="00C969C1">
              <w:rPr>
                <w:i/>
                <w:iCs/>
              </w:rPr>
              <w:br/>
              <w:t>41. A.D. e il ricorrente impugnarono la sentenza della Corte di appello per motivi di diritto.</w:t>
            </w:r>
            <w:r w:rsidRPr="00C969C1">
              <w:rPr>
                <w:i/>
                <w:iCs/>
              </w:rPr>
              <w:br/>
              <w:t>(a)La sentenza della Corte di cassazione nei confronti del ricorrente</w:t>
            </w:r>
            <w:r w:rsidRPr="00C969C1">
              <w:rPr>
                <w:i/>
                <w:iCs/>
              </w:rPr>
              <w:br/>
              <w:t xml:space="preserve">42. Con sentenza (n. 2/2018, sezione penale) in data 11 gennaio 2018, la Corte di cassazione rigettò </w:t>
            </w:r>
            <w:r w:rsidRPr="00C969C1">
              <w:rPr>
                <w:i/>
                <w:iCs/>
              </w:rPr>
              <w:lastRenderedPageBreak/>
              <w:t>il ricorso per motivi di diritto del ricorrente.</w:t>
            </w:r>
            <w:r w:rsidRPr="00C969C1">
              <w:rPr>
                <w:i/>
                <w:iCs/>
              </w:rPr>
              <w:br/>
              <w:t>43. Il ricorrente in un motivo di diritto asserì la violazione dell’articolo 10 della Convenzione da parte della Corte di appello e formulò la seguente affermazione:</w:t>
            </w:r>
            <w:r w:rsidRPr="00C969C1">
              <w:rPr>
                <w:i/>
                <w:iCs/>
              </w:rPr>
              <w:br/>
              <w:t>“La Corte di appello ha travisato i fatti e la giurisprudenza della Corte europea dei diritti dell’uomo e ha interpretato in modo tendenzioso ‘la limitata rilevanza dei documenti’ consegnati a [E.P.], arrivando così a ritenere che il danno subito dal datore di lavoro fosse superiore all’interesse generale e a rigettare la difesa della segnalazione di illeciti o irregolarità, poiché non riteneva soddisfatto il criterio della proporzionalità del danno provocato rispetto all’interesse generale.”</w:t>
            </w:r>
            <w:r w:rsidRPr="00C969C1">
              <w:rPr>
                <w:i/>
                <w:iCs/>
              </w:rPr>
              <w:br/>
              <w:t>Nelle sue osservazioni scritte a sostegno di tale rilievo, il ricorrente aveva sottolineato che gli allegati alle dichiarazioni dei redditi presentate dal gruppo A. rivelavano lo svolgimento di assemblee generali annuali della durata media di un minuto, il che confermava la totale assenza di un’autentica presenza economica di tale gruppo nel </w:t>
            </w:r>
            <w:bookmarkStart w:id="43" w:name="hitd0p200"/>
            <w:r w:rsidRPr="00C969C1">
              <w:rPr>
                <w:i/>
                <w:iCs/>
              </w:rPr>
              <w:t>Lussemburgo</w:t>
            </w:r>
            <w:bookmarkEnd w:id="43"/>
            <w:r w:rsidRPr="00C969C1">
              <w:rPr>
                <w:i/>
                <w:iCs/>
              </w:rPr>
              <w:t>. Il ricorrente aveva inoltre sottolineato che le dichiarazioni dei redditi in questione avevano consentito la valutazione della realtà economica dell’entità costituita nel </w:t>
            </w:r>
            <w:bookmarkStart w:id="44" w:name="hitd0p204"/>
            <w:r w:rsidRPr="00C969C1">
              <w:rPr>
                <w:i/>
                <w:iCs/>
              </w:rPr>
              <w:t>Lussemburgo</w:t>
            </w:r>
            <w:bookmarkEnd w:id="44"/>
            <w:r w:rsidRPr="00C969C1">
              <w:rPr>
                <w:i/>
                <w:iCs/>
              </w:rPr>
              <w:t> e dunque l’analisi della portata dell’utilizzo degli ATA.</w:t>
            </w:r>
            <w:r w:rsidRPr="00C969C1">
              <w:rPr>
                <w:i/>
                <w:iCs/>
              </w:rPr>
              <w:br/>
              <w:t>44. Pronunciandosi su tale motivo, la Corte di cassazione ritenne:</w:t>
            </w:r>
            <w:r w:rsidRPr="00C969C1">
              <w:rPr>
                <w:i/>
                <w:iCs/>
              </w:rPr>
              <w:br/>
              <w:t>“(...) La valutazione dei fatti che devono essere posti alla base della decisione che stabilisce se un imputato può beneficiare della difesa derivante dallo status di autore di segnalazioni di illeciti o irregolarità rientra nel potere sovrano dei giudici del merito, e non è soggetta al controllo della Corte di cassazione, purché tale valutazione non scaturisca da motivi insufficienti o contraddittori;</w:t>
            </w:r>
            <w:r w:rsidRPr="00C969C1">
              <w:rPr>
                <w:i/>
                <w:iCs/>
              </w:rPr>
              <w:br/>
              <w:t>Nel caso di specie, i giudici di appello hanno basato la loro valutazione sulla natura dei documenti sottratti dal [ricorrente], sulla loro utilizzazione nell’ambito di un programma televisivo sull’evasione fiscale, sulle dichiarazioni rilasciate dal [ricorrente] e da [E.P.] in merito alla rilevanza dei documenti sottratti e hanno concluso che le dichiarazioni dei redditi sottratte [dal ricorrente], benché indubbiamente utili per il giornalista [E.P.], non avevano tuttavia fornito informazioni fondamentali e inedite in grado di rilanciare o contribuire al dibattito sull’evasione fiscale;</w:t>
            </w:r>
            <w:r w:rsidRPr="00C969C1">
              <w:rPr>
                <w:i/>
                <w:iCs/>
              </w:rPr>
              <w:br/>
              <w:t>Contrariamente [a quanto affermato nel motivo del ricorrente], le conclusioni fattuali cui sono pervenuti i giudici di appello non sono contradditorie; (…)</w:t>
            </w:r>
            <w:r w:rsidRPr="00C969C1">
              <w:rPr>
                <w:i/>
                <w:iCs/>
              </w:rPr>
              <w:br/>
              <w:t>La valutazione dei giudici di appello è pertanto fondata su motivi sufficienti e non contradditori; (…)”</w:t>
            </w:r>
            <w:r w:rsidRPr="00C969C1">
              <w:rPr>
                <w:i/>
                <w:iCs/>
              </w:rPr>
              <w:br/>
              <w:t>(b)La sentenza della Corte di cassazione nei confronti di A.D.</w:t>
            </w:r>
            <w:r w:rsidRPr="00C969C1">
              <w:rPr>
                <w:i/>
                <w:iCs/>
              </w:rPr>
              <w:br/>
              <w:t>45. Per contro, il ricorso per motivi di diritto proposto da A.D. fu accolto dalla Corte di cassazione.</w:t>
            </w:r>
            <w:r w:rsidRPr="00C969C1">
              <w:rPr>
                <w:i/>
                <w:iCs/>
              </w:rPr>
              <w:br/>
              <w:t xml:space="preserve">46. Con sentenza (n. 1/2018, sezione penale) in data 11 gennaio 2018, la Corte di cassazione annullò la sentenza della Corte di appello ritenendo che lo status di autore di segnalazioni di illeciti o irregolarità dovesse in via di principio essere riconosciuto in relazione a tutti i reati che comportavano il perseguimento di persone che si erano avvalse del diritto garantito dall’articolo 10 della Convenzione, pena l’inefficacia della tutela prevista per lo status di autore di segnalazioni di illeciti o irregolarità. La </w:t>
            </w:r>
            <w:proofErr w:type="gramStart"/>
            <w:r w:rsidRPr="00C969C1">
              <w:rPr>
                <w:i/>
                <w:iCs/>
              </w:rPr>
              <w:t>Corte di Cassazione</w:t>
            </w:r>
            <w:proofErr w:type="gramEnd"/>
            <w:r w:rsidRPr="00C969C1">
              <w:rPr>
                <w:i/>
                <w:iCs/>
              </w:rPr>
              <w:t xml:space="preserve"> ritenne pertanto che la Corte di appello avesse violato l’articolo 10 della Convenzione quando non aveva consentito a A.D. di invocare la difesa della segnalazione di illeciti o irregolarità in relazione all’appropriazione dei documenti sottratti a ottobre 2010, dato che aveva accolto tale difesa in relazione alla loro consegna al giornalista E.P. </w:t>
            </w:r>
            <w:r w:rsidRPr="00C969C1">
              <w:rPr>
                <w:i/>
                <w:iCs/>
              </w:rPr>
              <w:lastRenderedPageBreak/>
              <w:t>nell’estate 2011.</w:t>
            </w:r>
            <w:r w:rsidRPr="00C969C1">
              <w:rPr>
                <w:i/>
                <w:iCs/>
              </w:rPr>
              <w:br/>
              <w:t>(c)La sentenza della corte d’appello nei confronti di A.D emessa a seguito di rinvio</w:t>
            </w:r>
            <w:r w:rsidRPr="00C969C1">
              <w:rPr>
                <w:i/>
                <w:iCs/>
              </w:rPr>
              <w:br/>
              <w:t xml:space="preserve">47. Con sentenza del 15 maggio 2018, la Corte di appello, pronunciandosi a seguito della sentenza della </w:t>
            </w:r>
            <w:proofErr w:type="gramStart"/>
            <w:r w:rsidRPr="00C969C1">
              <w:rPr>
                <w:i/>
                <w:iCs/>
              </w:rPr>
              <w:t>Corte di Cassazione</w:t>
            </w:r>
            <w:proofErr w:type="gramEnd"/>
            <w:r w:rsidRPr="00C969C1">
              <w:rPr>
                <w:i/>
                <w:iCs/>
              </w:rPr>
              <w:t>, ritenne che A.D. dovesse essere assolto, ai sensi dell’articolo 10 della Convenzione, da tutti i reati commessi in relazione ai documenti consegnati a E.P. nell’estate del 2011, compresi quelli relativi alla loro sottrazione nell’ottobre 2010.</w:t>
            </w:r>
            <w:r w:rsidRPr="00C969C1">
              <w:rPr>
                <w:i/>
                <w:iCs/>
              </w:rPr>
              <w:br/>
              <w:t>48. La Corte di appello ritenne tuttavia che la prima sentenza di appello fosse passata in giudicato rimanendo perciò valida nei confronti di A.D. per quanto riguardava quegli stessi reati nella misura in cui concernevano documenti sulla formazione interna anche essi da lui sottratti a ottobre 2010, quando si era impadronito dei documenti fiscali che aveva successivamente consegnato a E.P. A tale riguardo la Corte di appello si limitò a sospendere la pronuncia della pena.</w:t>
            </w:r>
            <w:r w:rsidRPr="00C969C1">
              <w:rPr>
                <w:i/>
                <w:iCs/>
              </w:rPr>
              <w:br/>
              <w:t>49. Tale sentenza non fu impugnata dalle parti e di conseguenza divenne definitiva.</w:t>
            </w:r>
            <w:r w:rsidRPr="00C969C1">
              <w:rPr>
                <w:i/>
                <w:iCs/>
              </w:rPr>
              <w:br/>
              <w:t>II.IL QUADRO GIURIDICO NAZIONALE E INTERNAZIONALE PERTINENTE</w:t>
            </w:r>
            <w:r w:rsidRPr="00C969C1">
              <w:rPr>
                <w:i/>
                <w:iCs/>
              </w:rPr>
              <w:br/>
            </w:r>
            <w:proofErr w:type="spellStart"/>
            <w:r w:rsidRPr="00C969C1">
              <w:rPr>
                <w:i/>
                <w:iCs/>
              </w:rPr>
              <w:t>A.Il</w:t>
            </w:r>
            <w:proofErr w:type="spellEnd"/>
            <w:r w:rsidRPr="00C969C1">
              <w:rPr>
                <w:i/>
                <w:iCs/>
              </w:rPr>
              <w:t xml:space="preserve"> diritto interno pertinente</w:t>
            </w:r>
            <w:r w:rsidRPr="00C969C1">
              <w:rPr>
                <w:i/>
                <w:iCs/>
              </w:rPr>
              <w:br/>
              <w:t>50. Le disposizioni del codice penale lussemburghese sul furto sul luogo di lavoro (“</w:t>
            </w:r>
            <w:proofErr w:type="spellStart"/>
            <w:r w:rsidRPr="00C969C1">
              <w:rPr>
                <w:i/>
                <w:iCs/>
              </w:rPr>
              <w:t>domestic</w:t>
            </w:r>
            <w:proofErr w:type="spellEnd"/>
            <w:r w:rsidRPr="00C969C1">
              <w:rPr>
                <w:i/>
                <w:iCs/>
              </w:rPr>
              <w:t xml:space="preserve"> </w:t>
            </w:r>
            <w:proofErr w:type="spellStart"/>
            <w:r w:rsidRPr="00C969C1">
              <w:rPr>
                <w:i/>
                <w:iCs/>
              </w:rPr>
              <w:t>theft</w:t>
            </w:r>
            <w:proofErr w:type="spellEnd"/>
            <w:r w:rsidRPr="00C969C1">
              <w:rPr>
                <w:i/>
                <w:iCs/>
              </w:rPr>
              <w:t xml:space="preserve">” </w:t>
            </w:r>
            <w:proofErr w:type="spellStart"/>
            <w:r w:rsidRPr="00C969C1">
              <w:rPr>
                <w:i/>
                <w:iCs/>
              </w:rPr>
              <w:t>vol</w:t>
            </w:r>
            <w:proofErr w:type="spellEnd"/>
            <w:r w:rsidRPr="00C969C1">
              <w:rPr>
                <w:i/>
                <w:iCs/>
              </w:rPr>
              <w:t xml:space="preserve"> </w:t>
            </w:r>
            <w:proofErr w:type="spellStart"/>
            <w:r w:rsidRPr="00C969C1">
              <w:rPr>
                <w:i/>
                <w:iCs/>
              </w:rPr>
              <w:t>domestique</w:t>
            </w:r>
            <w:proofErr w:type="spellEnd"/>
            <w:r w:rsidRPr="00C969C1">
              <w:rPr>
                <w:i/>
                <w:iCs/>
              </w:rPr>
              <w:t>) recitano:</w:t>
            </w:r>
            <w:r w:rsidRPr="00C969C1">
              <w:rPr>
                <w:i/>
                <w:iCs/>
              </w:rPr>
              <w:br/>
              <w:t>Articolo 461 comma 1</w:t>
            </w:r>
            <w:r w:rsidRPr="00C969C1">
              <w:rPr>
                <w:i/>
                <w:iCs/>
              </w:rPr>
              <w:br/>
              <w:t>“Chiunque fraudolentemente sottragga un oggetto o una chiave elettronica che non gli appartiene è colpevole di furto.”</w:t>
            </w:r>
            <w:r w:rsidRPr="00C969C1">
              <w:rPr>
                <w:i/>
                <w:iCs/>
              </w:rPr>
              <w:br/>
              <w:t>Articolo 463</w:t>
            </w:r>
            <w:r w:rsidRPr="00C969C1">
              <w:rPr>
                <w:i/>
                <w:iCs/>
              </w:rPr>
              <w:br/>
              <w:t>“I furti non specificati nel presente capo sono puniti con la reclusione da un mese a cinque anni e con una multa da EUR 251 a EUR 5.000.”</w:t>
            </w:r>
            <w:r w:rsidRPr="00C969C1">
              <w:rPr>
                <w:i/>
                <w:iCs/>
              </w:rPr>
              <w:br/>
              <w:t>Articolo 464</w:t>
            </w:r>
            <w:r w:rsidRPr="00C969C1">
              <w:rPr>
                <w:i/>
                <w:iCs/>
              </w:rPr>
              <w:br/>
              <w:t>“È prevista la reclusione non inferiore a tre mesi qualora l’autore del furto sia un domestico [un dipendente] o una persona che fornisce i suoi servizi in cambio di una retribuzione, anche qualora il furto sia commesso ai danni di persone che non sono suoi datori di lavoro, ma che si trovano nell’abitazione [locali] del datore di lavoro, o in quella in cui egli lo accompagna, o qualora [l’autore del furto] sia un operaio, un operaio specializzato o un apprendista nell’abitazione, nell’officina o nel negozio del datore di lavoro, o una persona che lavora abitualmente nell’alloggio ove ha commesso il furto.”</w:t>
            </w:r>
            <w:r w:rsidRPr="00C969C1">
              <w:rPr>
                <w:i/>
                <w:iCs/>
              </w:rPr>
              <w:br/>
              <w:t xml:space="preserve">51. In ordine al mantenimento fraudolento dell’accesso a un sistema automatizzato di trattamento dei dati, l’articolo 509-1 comma 1 del </w:t>
            </w:r>
            <w:proofErr w:type="gramStart"/>
            <w:r w:rsidRPr="00C969C1">
              <w:rPr>
                <w:i/>
                <w:iCs/>
              </w:rPr>
              <w:t>codice penale</w:t>
            </w:r>
            <w:proofErr w:type="gramEnd"/>
            <w:r w:rsidRPr="00C969C1">
              <w:rPr>
                <w:i/>
                <w:iCs/>
              </w:rPr>
              <w:t xml:space="preserve"> recita:</w:t>
            </w:r>
            <w:r w:rsidRPr="00C969C1">
              <w:rPr>
                <w:i/>
                <w:iCs/>
              </w:rPr>
              <w:br/>
              <w:t>“Chiunque in modo fraudolento accede o mantiene l’accesso a tutto o a parte di un sistema automatizzato di trattamento o trasmissione dei dati è punito con la reclusione da due mesi a due anni e con la multa da EUR 500 a EUR 25.000, o con una di tali due pene.”</w:t>
            </w:r>
            <w:r w:rsidRPr="00C969C1">
              <w:rPr>
                <w:i/>
                <w:iCs/>
              </w:rPr>
              <w:br/>
              <w:t>52. Il reato di violazione del segreto professionale è previsto dall’articolo</w:t>
            </w:r>
            <w:r w:rsidRPr="00C969C1">
              <w:rPr>
                <w:i/>
                <w:iCs/>
              </w:rPr>
              <w:br/>
              <w:t>458 del codice penale, che recita:</w:t>
            </w:r>
            <w:r w:rsidRPr="00C969C1">
              <w:rPr>
                <w:i/>
                <w:iCs/>
              </w:rPr>
              <w:br/>
              <w:t>“I medici, i chirurghi, gli ufficiali sanitari, i farmacisti, le ostetriche e tutte le altre persone che in virtù della loro posizione o professione sono depositari di segreti e che, salvo il caso in cui siano chiamati a testimoniare in tribunale o qualora la legge imponga loro di comunicarli, li rivelino sono puniti con la reclusione da otto giorni a sei mesi e con una multa da EUR 500 e EUR 5.000.”</w:t>
            </w:r>
            <w:r w:rsidRPr="00C969C1">
              <w:rPr>
                <w:i/>
                <w:iCs/>
              </w:rPr>
              <w:br/>
            </w:r>
            <w:r w:rsidRPr="00C969C1">
              <w:rPr>
                <w:i/>
                <w:iCs/>
              </w:rPr>
              <w:lastRenderedPageBreak/>
              <w:t>53. Il riciclaggio e la detenzione dei proventi del furto sul luogo di lavoro sono previsti dall’articolo 506-1, che rinvia all’articolo 32-1.</w:t>
            </w:r>
            <w:r w:rsidRPr="00C969C1">
              <w:rPr>
                <w:i/>
                <w:iCs/>
              </w:rPr>
              <w:br/>
              <w:t>L’articolo 506-1, in vigore all’epoca dei fatti, recitava:</w:t>
            </w:r>
            <w:r w:rsidRPr="00C969C1">
              <w:rPr>
                <w:i/>
                <w:iCs/>
              </w:rPr>
              <w:br/>
              <w:t>“Sono puniti con la reclusione da uno a cinque anni e con la multa da EUR 1.250 a EUR 1.250.000, o con una soltanto di tali pene:</w:t>
            </w:r>
            <w:r w:rsidRPr="00C969C1">
              <w:rPr>
                <w:i/>
                <w:iCs/>
              </w:rPr>
              <w:br/>
              <w:t>(1) coloro che consapevolmente agevolano, con ogni mezzo, la fornitura di false spiegazioni in relazione alla natura, l’origine, l’ubicazione, il movimento o la proprietà dei beni di cui all’articolo 32-1, comma 1 lettera i), che costituiscono l’oggetto o il provento, diretto o indiretto (…) di una violazione degli articoli 463 e 464 del codice penale (…), o che generano un vantaggio economico basato su uno o più di tali reati;</w:t>
            </w:r>
            <w:r w:rsidRPr="00C969C1">
              <w:rPr>
                <w:i/>
                <w:iCs/>
              </w:rPr>
              <w:br/>
              <w:t>(...)</w:t>
            </w:r>
            <w:r w:rsidRPr="00C969C1">
              <w:rPr>
                <w:i/>
                <w:iCs/>
              </w:rPr>
              <w:br/>
              <w:t>(3) Coloro che acquisiscono, detengono o utilizzano i beni di cui all’articolo 32-1, comma 1 lettera i), che costituiscono l’oggetto o il provento, diretto o indiretto, dei reati elencati alla lettera i) di tale articolo, o che generano un vantaggio economico di qualsiasi tipo basato su uno o più di tali reati, qualora essi sappiano, quando li ricevano, che essi derivano da uno o più reati di cui alla lettera i) o dal concorso in uno o più di tali reati.”</w:t>
            </w:r>
            <w:r w:rsidRPr="00C969C1">
              <w:rPr>
                <w:i/>
                <w:iCs/>
              </w:rPr>
              <w:br/>
              <w:t>Il summenzionato “articolo 32-1, comma 1 lettera i)”, abrogato nel frattempo (dalla legge del 1° agosto 2018), recitava:</w:t>
            </w:r>
            <w:r w:rsidRPr="00C969C1">
              <w:rPr>
                <w:i/>
                <w:iCs/>
              </w:rPr>
              <w:br/>
              <w:t>“Nel caso del reato di riciclaggio previsto dagli articoli da 506-1 a 506-8 (…) si applica un decreto di confisca speciale: i) ai beni comprendenti beni di ogni tipo, materiali o immateriali, mobili o immobili, nonché gli atti giuridici e i documenti che attestano un titolo o un diritto su tali beni, beni che sono l’oggetto o il provento, diretto o indiretto, di un reato o che costituiscono un vantaggio economico derivante dal reato, compreso il reddito ricavato da tali beni (…)”</w:t>
            </w:r>
            <w:r w:rsidRPr="00C969C1">
              <w:rPr>
                <w:i/>
                <w:iCs/>
              </w:rPr>
              <w:br/>
              <w:t>L’articolo 506-4 inoltre integra l’articolo 506-1 stabilendo che:</w:t>
            </w:r>
            <w:r w:rsidRPr="00C969C1">
              <w:rPr>
                <w:i/>
                <w:iCs/>
              </w:rPr>
              <w:br/>
              <w:t>“I reati di cui all’articolo 506-1 sono punibili anche qualora l’autore sia anche l’autore o un concorrente nel reato presupposto.”</w:t>
            </w:r>
            <w:r w:rsidRPr="00C969C1">
              <w:rPr>
                <w:i/>
                <w:iCs/>
              </w:rPr>
              <w:br/>
            </w:r>
            <w:proofErr w:type="spellStart"/>
            <w:r w:rsidRPr="00C969C1">
              <w:rPr>
                <w:i/>
                <w:iCs/>
              </w:rPr>
              <w:t>B.Il</w:t>
            </w:r>
            <w:proofErr w:type="spellEnd"/>
            <w:r w:rsidRPr="00C969C1">
              <w:rPr>
                <w:i/>
                <w:iCs/>
              </w:rPr>
              <w:t xml:space="preserve"> diritto internazionale ed europeo</w:t>
            </w:r>
            <w:r w:rsidRPr="00C969C1">
              <w:rPr>
                <w:i/>
                <w:iCs/>
              </w:rPr>
              <w:br/>
              <w:t>1.Gli strumenti internazionali</w:t>
            </w:r>
            <w:r w:rsidRPr="00C969C1">
              <w:rPr>
                <w:i/>
                <w:iCs/>
              </w:rPr>
              <w:br/>
              <w:t>54. Nel suo rapporto A/70/361, in data 8 settembre 2015, il relatore speciale delle Nazioni Unite sulla promozione e la tutela del diritto alla libertà di opinione e di espressione ha trattato la questione della protezione delle fonti di informazione e degli autori di segnalazioni di illeciti o irregolarità. Secondo lui, “l’espressione ‘autore di segnalazioni di illeciti o irregolarità’ (‘</w:t>
            </w:r>
            <w:proofErr w:type="spellStart"/>
            <w:r w:rsidRPr="00C969C1">
              <w:rPr>
                <w:i/>
                <w:iCs/>
              </w:rPr>
              <w:t>whistle-blower</w:t>
            </w:r>
            <w:proofErr w:type="spellEnd"/>
            <w:r w:rsidRPr="00C969C1">
              <w:rPr>
                <w:i/>
                <w:iCs/>
              </w:rPr>
              <w:t>’) si riferisce a persone che portano alla luce informazioni che esse hanno ragione di credere vere al momento della loro rivelazione e che costituiscono una minaccia o un danno per uno specifico interesse pubblico”. I pertinenti passaggi del rapporto recitano:</w:t>
            </w:r>
            <w:r w:rsidRPr="00C969C1">
              <w:rPr>
                <w:i/>
                <w:iCs/>
              </w:rPr>
              <w:br/>
              <w:t>“(</w:t>
            </w:r>
            <w:proofErr w:type="gramStart"/>
            <w:r w:rsidRPr="00C969C1">
              <w:rPr>
                <w:i/>
                <w:iCs/>
              </w:rPr>
              <w:t>... )</w:t>
            </w:r>
            <w:proofErr w:type="gramEnd"/>
            <w:r w:rsidRPr="00C969C1">
              <w:rPr>
                <w:i/>
                <w:iCs/>
              </w:rPr>
              <w:t xml:space="preserve"> Gli autori di segnalazioni di illeciti o irregolarità che, sulla base di una ragionevole convinzione, riferiscono informazioni che poi risultano inesatte, dovrebbero cionondimeno essere protetti dalle ritorsioni. Le motivazioni dell’autore della segnalazione al momento delle rivelazioni dovrebbero inoltre essere irrilevanti al fine di determinare se abbia diritto a una tutela. Le possibilità vanno dall’inclusione della ‘buona fede’ quale elemento della segnalazione, all’esclusione del requisito della buona fede, alla previsione del requisito della buona fede soltanto </w:t>
            </w:r>
            <w:r w:rsidRPr="00C969C1">
              <w:rPr>
                <w:i/>
                <w:iCs/>
              </w:rPr>
              <w:lastRenderedPageBreak/>
              <w:t xml:space="preserve">nel contesto di un rimedio risarcitorio per le ritorsioni, all’inclusione sia della ‘buona fede’ che della ragionevole convinzione. </w:t>
            </w:r>
            <w:proofErr w:type="gramStart"/>
            <w:r w:rsidRPr="00C969C1">
              <w:rPr>
                <w:i/>
                <w:iCs/>
              </w:rPr>
              <w:t>Tuttavia</w:t>
            </w:r>
            <w:proofErr w:type="gramEnd"/>
            <w:r w:rsidRPr="00C969C1">
              <w:rPr>
                <w:i/>
                <w:iCs/>
              </w:rPr>
              <w:t xml:space="preserve"> il criterio della ‘buona fede’ può essere male interpretato concentrandosi sulle motivazioni dell’autore della segnalazione invece che sulla veridicità e la rilevanza delle informazioni riferite. Il motivo per il quale l’autore della segnalazione ha attirato l’attenzione sulle informazioni in questione, se egli le riteneva vere, non dovrebbe avere importanza.</w:t>
            </w:r>
            <w:r w:rsidRPr="00C969C1">
              <w:rPr>
                <w:i/>
                <w:iCs/>
              </w:rPr>
              <w:br/>
              <w:t>(...)</w:t>
            </w:r>
            <w:r w:rsidRPr="00C969C1">
              <w:rPr>
                <w:i/>
                <w:iCs/>
              </w:rPr>
              <w:br/>
              <w:t>La segnalazione di illeciti o irregolarità non riguarda sempre specifici atti illeciti individuali, ma può rivelare informazioni nascoste che il pubblico ha un legittimo interesse a conoscere. Le autorità internazionali e gli Stati spesso offrono una protezione generale per la rivelazione di informazioni di pubblico interesse o la rivelazione di specifiche categorie di informazioni, o in entrambi i casi (…)</w:t>
            </w:r>
            <w:r w:rsidRPr="00C969C1">
              <w:rPr>
                <w:i/>
                <w:iCs/>
              </w:rPr>
              <w:br/>
              <w:t>A prescindere dall’approccio adottato, l’ambito di applicazione della protezione accordata alle rivelazioni dovrebbe essere facilmente comprensibile per i potenziali autori di segnalazioni (…)</w:t>
            </w:r>
            <w:r w:rsidRPr="00C969C1">
              <w:rPr>
                <w:i/>
                <w:iCs/>
              </w:rPr>
              <w:br/>
              <w:t>(...)</w:t>
            </w:r>
            <w:r w:rsidRPr="00C969C1">
              <w:rPr>
                <w:i/>
                <w:iCs/>
              </w:rPr>
              <w:br/>
              <w:t>Meccanismi di vigilanza istituzionali interni ed esterni dovrebbero offrire agli autori di segnalazioni di illeciti o irregolarità efficaci canali di protezione per motivarli a chiedere azioni correttive; in assenza di tali canali occorre proteggere e promuovere le rivelazioni pubbliche (…)</w:t>
            </w:r>
            <w:r w:rsidRPr="00C969C1">
              <w:rPr>
                <w:i/>
                <w:iCs/>
              </w:rPr>
              <w:br/>
              <w:t>(...)</w:t>
            </w:r>
            <w:r w:rsidRPr="00C969C1">
              <w:rPr>
                <w:i/>
                <w:iCs/>
              </w:rPr>
              <w:br/>
              <w:t>Qualora non siano disponibili o efficaci altri meccanismi per rivelare informazioni su atti illeciti, l’autore della segnalazione può rivelare le informazioni sull’asserito atto illecito a soggetti esterni, i media o altri soggetti della società civile, oppure pubblicarle egli stesso. In tali circostanze, le pubbliche rivelazioni dell’autore di segnalazioni di illeciti o irregolarità dovrebbero essere protette.</w:t>
            </w:r>
            <w:r w:rsidRPr="00C969C1">
              <w:rPr>
                <w:i/>
                <w:iCs/>
              </w:rPr>
              <w:br/>
              <w:t>(...)”</w:t>
            </w:r>
            <w:r w:rsidRPr="00C969C1">
              <w:rPr>
                <w:i/>
                <w:iCs/>
              </w:rPr>
              <w:br/>
            </w:r>
            <w:proofErr w:type="gramStart"/>
            <w:r w:rsidRPr="00C969C1">
              <w:rPr>
                <w:i/>
                <w:iCs/>
              </w:rPr>
              <w:t>2.I</w:t>
            </w:r>
            <w:proofErr w:type="gramEnd"/>
            <w:r w:rsidRPr="00C969C1">
              <w:rPr>
                <w:i/>
                <w:iCs/>
              </w:rPr>
              <w:t xml:space="preserve"> testi adottati dal Consiglio d’Europa</w:t>
            </w:r>
            <w:r w:rsidRPr="00C969C1">
              <w:rPr>
                <w:i/>
                <w:iCs/>
              </w:rPr>
              <w:br/>
              <w:t>55. In data 29 aprile 2010 l’Assemblea parlamentare del Consiglio d’Europa ha adottato la risoluzione 1729(2010) sulla protezione degli “informatori “ (</w:t>
            </w:r>
            <w:proofErr w:type="spellStart"/>
            <w:r w:rsidRPr="00C969C1">
              <w:rPr>
                <w:i/>
                <w:iCs/>
              </w:rPr>
              <w:t>whistle-blower</w:t>
            </w:r>
            <w:proofErr w:type="spellEnd"/>
            <w:r w:rsidRPr="00C969C1">
              <w:rPr>
                <w:i/>
                <w:iCs/>
              </w:rPr>
              <w:t>) in cui riconosceva l’importanza degli “informatori” che definiva “persone preoccupate che lanciano l’allarme per fermare atti illeciti che espongono altri esseri umani a rischi, poiché i loro atti forniscono la possibilità di rafforzare l’obbligo di rendere conto e la lotta contro la corruzione e la cattiva gestione sia nel settore pubblico che in quello privato”. Ai sensi di tale risoluzione:</w:t>
            </w:r>
            <w:r w:rsidRPr="00C969C1">
              <w:rPr>
                <w:i/>
                <w:iCs/>
              </w:rPr>
              <w:br/>
              <w:t>“(...)</w:t>
            </w:r>
            <w:r w:rsidRPr="00C969C1">
              <w:rPr>
                <w:i/>
                <w:iCs/>
              </w:rPr>
              <w:br/>
              <w:t>La legislazione pertinente deve innanzitutto fornire un’alternativa sicura al silenzio.</w:t>
            </w:r>
            <w:r w:rsidRPr="00C969C1">
              <w:rPr>
                <w:i/>
                <w:iCs/>
              </w:rPr>
              <w:br/>
              <w:t>(...)</w:t>
            </w:r>
            <w:r w:rsidRPr="00C969C1">
              <w:rPr>
                <w:i/>
                <w:iCs/>
              </w:rPr>
              <w:br/>
              <w:t>6.2.2 Tale legislazione dovrebbe proteggere chiunque, in buona fede, si avvalga degli esistenti canali interni di segnalazione di illeciti o irregolarità da ogni forma di ritorsione (licenziamento arbitrario, mobbing, o altri trattamenti punitivi o discriminatori).</w:t>
            </w:r>
            <w:r w:rsidRPr="00C969C1">
              <w:rPr>
                <w:i/>
                <w:iCs/>
              </w:rPr>
              <w:br/>
              <w:t>6.2.3 Laddove i canali interni non esistano o non abbiano funzionato correttamente o sia ragionevole aspettarsi che non funzionino correttamente data la natura del problema sollevato dall’informatore, occorre tutelare anche la segnalazione di illeciti o irregolarità attraverso canali esterni, compresi i media.</w:t>
            </w:r>
            <w:r w:rsidRPr="00C969C1">
              <w:rPr>
                <w:i/>
                <w:iCs/>
              </w:rPr>
              <w:br/>
              <w:t xml:space="preserve">6.2.4 Si ritiene che ciascun informatore abbia agito in buona fede purché avesse motivi ragionevoli </w:t>
            </w:r>
            <w:r w:rsidRPr="00C969C1">
              <w:rPr>
                <w:i/>
                <w:iCs/>
              </w:rPr>
              <w:lastRenderedPageBreak/>
              <w:t>di credere che le informazioni divulgate fossero vere, anche qualora in seguito tale convinzione si rivelasse errata, e purché egli non perseguisse fini illeciti o contrari all’etica.</w:t>
            </w:r>
            <w:r w:rsidRPr="00C969C1">
              <w:rPr>
                <w:i/>
                <w:iCs/>
              </w:rPr>
              <w:br/>
              <w:t>(...)”</w:t>
            </w:r>
            <w:r w:rsidRPr="00C969C1">
              <w:rPr>
                <w:i/>
                <w:iCs/>
              </w:rPr>
              <w:br/>
              <w:t>56. In data 1° ottobre 2019 l’Assemblea parlamentare ha inoltre adottato la Risoluzione 2300(2019) “Migliorare la tutela degli informatori (</w:t>
            </w:r>
            <w:proofErr w:type="spellStart"/>
            <w:r w:rsidRPr="00C969C1">
              <w:rPr>
                <w:i/>
                <w:iCs/>
              </w:rPr>
              <w:t>whistle-blower</w:t>
            </w:r>
            <w:proofErr w:type="spellEnd"/>
            <w:r w:rsidRPr="00C969C1">
              <w:rPr>
                <w:i/>
                <w:iCs/>
              </w:rPr>
              <w:t>) in tutta Europa” in cui ha affermato che “gli informatori giocano un ruolo essenziale in ogni democrazia aperta e trasparente. Il riconoscimento loro accordato e l’efficacia della tutela loro garantita sia in diritto che in pratica contro tutte le forme di ritorsione costituiscono un autentico “indicatore” di democrazia. Ai sensi di tale risoluzione:</w:t>
            </w:r>
            <w:r w:rsidRPr="00C969C1">
              <w:rPr>
                <w:i/>
                <w:iCs/>
              </w:rPr>
              <w:br/>
              <w:t>“(...)</w:t>
            </w:r>
            <w:r w:rsidRPr="00C969C1">
              <w:rPr>
                <w:i/>
                <w:iCs/>
              </w:rPr>
              <w:br/>
              <w:t>4. Senza informatori, sarà impossibile trovare una soluzione a molte sfide poste alle nostre democrazie, compresa, naturalmente, la lotta contro la corruzione grave e contro il riciclaggio di denaro, nonché alle nuove sfide quali le minacce alla libertà individuale poste dall’utilizzo fraudolento di massa dei dati personali, le attività che provocano gravi danni ambientali o minacce alla salute pubblica. Sussiste pertanto un’urgente necessità di attuare misure mirate che incoraggino le persone a riferire fatti rilevanti e accordino una migliore tutela a coloro che corrono il rischio di effettuare una segnalazione.</w:t>
            </w:r>
            <w:r w:rsidRPr="00C969C1">
              <w:rPr>
                <w:i/>
                <w:iCs/>
              </w:rPr>
              <w:br/>
              <w:t>5. Di conseguenza, il termine informatore deve essere definite in maniera ampia in modo da comprendere ogni persona o soggetto giuridico che rivela o riferisce, in buona fede, un reato o un illecito meno grave, una violazione della legge, o una minaccia o un danno all’interesse pubblico di cui è venuta a conoscenza direttamente o indirettamente.</w:t>
            </w:r>
            <w:r w:rsidRPr="00C969C1">
              <w:rPr>
                <w:i/>
                <w:iCs/>
              </w:rPr>
              <w:br/>
              <w:t>(...)”</w:t>
            </w:r>
            <w:r w:rsidRPr="00C969C1">
              <w:rPr>
                <w:i/>
                <w:iCs/>
              </w:rPr>
              <w:br/>
              <w:t>In tale risoluzione l’Assemblea ha osservato che molti Stati membri del Consiglio d’Europa (Albania, Croazia, Repubblica ceca, Estonia, Finlandia, Francia, Georgia, Ungheria, Italia, Lettonia, Lituania, Repubblica di Moldova, Montenegro, Macedonia del Nord, Polonia, Romania, Serbia, Repubblica slovacca, Spagna, Svezia, Svizzera e Regno Unito) hanno adottato leggi per tutelare gli informatori in generale o perlomeno in alcuni settori.</w:t>
            </w:r>
            <w:r w:rsidRPr="00C969C1">
              <w:rPr>
                <w:i/>
                <w:iCs/>
              </w:rPr>
              <w:br/>
              <w:t>Dopo aver rilevato che il 16 aprile 2019 il Parlamento europeo aveva approvato la proposta di direttiva destinata a migliorare la situazione degli informatori in tutti i suoi Stati membri, la risoluzione sottolinea ulteriormente il fatto che gli Stati membri del Consiglio d’Europa che non sono o non sono ancora membri dell’Unione europea (in prosieguo “la UE”) hanno anche essi un forte interesse ad attingere al progetto di direttiva al fine di adottare o aggiornare la propria legislazione in conformità a tale nuova normativa.</w:t>
            </w:r>
            <w:r w:rsidRPr="00C969C1">
              <w:rPr>
                <w:i/>
                <w:iCs/>
              </w:rPr>
              <w:br/>
              <w:t>57. In data 30 aprile 2014, il Comitato dei ministri ha adottato la raccomandazione CM/</w:t>
            </w:r>
            <w:proofErr w:type="spellStart"/>
            <w:r w:rsidRPr="00C969C1">
              <w:rPr>
                <w:i/>
                <w:iCs/>
              </w:rPr>
              <w:t>Rec</w:t>
            </w:r>
            <w:proofErr w:type="spellEnd"/>
            <w:r w:rsidRPr="00C969C1">
              <w:rPr>
                <w:i/>
                <w:iCs/>
              </w:rPr>
              <w:t xml:space="preserve"> (2014)7 sulla protezione degli informatori che afferma:</w:t>
            </w:r>
            <w:r w:rsidRPr="00C969C1">
              <w:rPr>
                <w:i/>
                <w:iCs/>
              </w:rPr>
              <w:br/>
              <w:t>“(...)</w:t>
            </w:r>
            <w:r w:rsidRPr="00C969C1">
              <w:rPr>
                <w:i/>
                <w:iCs/>
              </w:rPr>
              <w:br/>
              <w:t>Riconoscendo che le persone che riferiscono o rivelano informazioni concernenti minacce o un danno all'interesse pubblico (‘informatori’ ‘whistleblower’) possono contribuire a rafforzare la trasparenza e il principio della responsabilità democratica;</w:t>
            </w:r>
            <w:r w:rsidRPr="00C969C1">
              <w:rPr>
                <w:i/>
                <w:iCs/>
              </w:rPr>
              <w:br/>
              <w:t>(...)</w:t>
            </w:r>
            <w:r w:rsidRPr="00C969C1">
              <w:rPr>
                <w:i/>
                <w:iCs/>
              </w:rPr>
              <w:br/>
              <w:t>Ai fini della presente raccomandazione e dei suoi principi:</w:t>
            </w:r>
            <w:r w:rsidRPr="00C969C1">
              <w:rPr>
                <w:i/>
                <w:iCs/>
              </w:rPr>
              <w:br/>
            </w:r>
            <w:r w:rsidRPr="00C969C1">
              <w:rPr>
                <w:i/>
                <w:iCs/>
              </w:rPr>
              <w:lastRenderedPageBreak/>
              <w:t>(...) si intende per ‘informatore’ qualsiasi persona che riferisce o rivela informazioni concernenti minacce o un danno all'interesse pubblico nel contesto del suo rapporto di lavoro, nel settore pubblico o privato;</w:t>
            </w:r>
            <w:r w:rsidRPr="00C969C1">
              <w:rPr>
                <w:i/>
                <w:iCs/>
              </w:rPr>
              <w:br/>
              <w:t>(...)</w:t>
            </w:r>
            <w:r w:rsidRPr="00C969C1">
              <w:rPr>
                <w:i/>
                <w:iCs/>
              </w:rPr>
              <w:br/>
              <w:t>Ambito di applicazione personale</w:t>
            </w:r>
            <w:r w:rsidRPr="00C969C1">
              <w:rPr>
                <w:i/>
                <w:iCs/>
              </w:rPr>
              <w:br/>
              <w:t>3. L’ambito di applicazione personale del quadro nazionale dovrebbe comprendere tutti coloro che lavorano nel settore pubblico o privato, a prescindere dalla natura del loro rapporto di lavoro e dal fatto che siano retribuiti o meno.</w:t>
            </w:r>
            <w:r w:rsidRPr="00C969C1">
              <w:rPr>
                <w:i/>
                <w:iCs/>
              </w:rPr>
              <w:br/>
              <w:t>4. Il quadro nazionale dovrebbe comprendere anche coloro il cui rapporto di lavoro sia cessato o, eventualmente, debba ancora iniziare, nei casi in cui le informazioni concernenti minacce o un danno all'interesse pubblico siano state acquisite durante il processo di selezione o altre fasi delle trattative precontrattuali.</w:t>
            </w:r>
            <w:r w:rsidRPr="00C969C1">
              <w:rPr>
                <w:i/>
                <w:iCs/>
              </w:rPr>
              <w:br/>
              <w:t>(...)</w:t>
            </w:r>
            <w:r w:rsidRPr="00C969C1">
              <w:rPr>
                <w:i/>
                <w:iCs/>
              </w:rPr>
              <w:br/>
              <w:t>14. I canali di segnalazione e di rivelazione delle informazioni comprendono:</w:t>
            </w:r>
            <w:r w:rsidRPr="00C969C1">
              <w:rPr>
                <w:i/>
                <w:iCs/>
              </w:rPr>
              <w:br/>
              <w:t>- segnalazioni all’interno di un’organizzazione o un’impresa (anche alle persone deputate a ricevere segnalazioni in via riservata);</w:t>
            </w:r>
            <w:r w:rsidRPr="00C969C1">
              <w:rPr>
                <w:i/>
                <w:iCs/>
              </w:rPr>
              <w:br/>
              <w:t>- segnalazioni agli organi regolatori pubblici, agli organi di contrasto e agli organi di vigilanza;</w:t>
            </w:r>
            <w:r w:rsidRPr="00C969C1">
              <w:rPr>
                <w:i/>
                <w:iCs/>
              </w:rPr>
              <w:br/>
              <w:t>- rivelazione pubblica delle informazioni, per esempio a un giornalista o a un parlamentare.</w:t>
            </w:r>
            <w:r w:rsidRPr="00C969C1">
              <w:rPr>
                <w:i/>
                <w:iCs/>
              </w:rPr>
              <w:br/>
              <w:t>Le circostanze specifiche di ciascun caso determinano quale sia il canale più idoneo.</w:t>
            </w:r>
            <w:r w:rsidRPr="00C969C1">
              <w:rPr>
                <w:i/>
                <w:iCs/>
              </w:rPr>
              <w:br/>
              <w:t>(...)</w:t>
            </w:r>
            <w:r w:rsidRPr="00C969C1">
              <w:rPr>
                <w:i/>
                <w:iCs/>
              </w:rPr>
              <w:br/>
              <w:t>21. Gli informatori devono essere protetti da qualsiasi forma di ritorsione, diretta o indiretta, da parte del datore di lavoro o di persone che lavorano per lui o agiscono per suo conto. Le forme di ritorsione possono comprendere il licenziamento, la sospensione, la retrocessione di grado, la perdita di possibilità di promozione, i trasferimenti punitivi, la riduzione o la detrazione salariale, il mobbing o altri trattamenti punitivi o discriminatori.</w:t>
            </w:r>
            <w:r w:rsidRPr="00C969C1">
              <w:rPr>
                <w:i/>
                <w:iCs/>
              </w:rPr>
              <w:br/>
              <w:t>22. La persona che ha effettuato la segnalazione o ha rivelato delle informazioni non deve essere privata della protezione soltanto perché si era sbagliata sulla loro importanza o la percepita minaccia all’interesse pubblico non si è concretizzata, purché ella avesse ragionevoli motivi per credere nella loro attendibilità.</w:t>
            </w:r>
            <w:r w:rsidRPr="00C969C1">
              <w:rPr>
                <w:i/>
                <w:iCs/>
              </w:rPr>
              <w:br/>
              <w:t>(...)</w:t>
            </w:r>
            <w:r w:rsidRPr="00C969C1">
              <w:rPr>
                <w:i/>
                <w:iCs/>
              </w:rPr>
              <w:br/>
              <w:t>24. Qualora il datore di lavoro abbia predisposto un sistema di segnalazione interna e l’informatore abbia divulgato al pubblico le informazioni senza utilizzarlo, ciò può essere preso in considerazione al momento di decidere le vie di ricorso o il livello di protezione da accordare all’informatore.</w:t>
            </w:r>
            <w:r w:rsidRPr="00C969C1">
              <w:rPr>
                <w:i/>
                <w:iCs/>
              </w:rPr>
              <w:br/>
              <w:t>(...)”</w:t>
            </w:r>
            <w:r w:rsidRPr="00C969C1">
              <w:rPr>
                <w:i/>
                <w:iCs/>
              </w:rPr>
              <w:br/>
              <w:t>Il memorandum esplicativo di suddetta raccomandazione afferma:</w:t>
            </w:r>
            <w:r w:rsidRPr="00C969C1">
              <w:rPr>
                <w:i/>
                <w:iCs/>
              </w:rPr>
              <w:br/>
              <w:t>“(...)</w:t>
            </w:r>
            <w:r w:rsidRPr="00C969C1">
              <w:rPr>
                <w:i/>
                <w:iCs/>
              </w:rPr>
              <w:br/>
              <w:t xml:space="preserve">31. È il rapporto lavorativo de facto dell’informatore piuttosto che il suo status giuridico specifico (per esempio dipendente) che gli conferisce un accesso privilegiato a conoscenze concernenti una minaccia o un danno al pubblico interesse. Inoltre, negli Stati membri la definizione giuridica di dipendente o di lavoratore può variare e con essa anche i conseguenti diritti e obblighi. È stato inoltre ritenuto preferibile incoraggiare gli Stati membri </w:t>
            </w:r>
            <w:proofErr w:type="gramStart"/>
            <w:r w:rsidRPr="00C969C1">
              <w:rPr>
                <w:i/>
                <w:iCs/>
              </w:rPr>
              <w:t>ad</w:t>
            </w:r>
            <w:proofErr w:type="gramEnd"/>
            <w:r w:rsidRPr="00C969C1">
              <w:rPr>
                <w:i/>
                <w:iCs/>
              </w:rPr>
              <w:t xml:space="preserve"> adottare un approccio ampio all’ambito </w:t>
            </w:r>
            <w:r w:rsidRPr="00C969C1">
              <w:rPr>
                <w:i/>
                <w:iCs/>
              </w:rPr>
              <w:lastRenderedPageBreak/>
              <w:t xml:space="preserve">di applicazione personale della raccomandazione. Per tale motivo, si è deciso di descrivere tale ambito in riferimento al ‘rapporto di </w:t>
            </w:r>
            <w:proofErr w:type="spellStart"/>
            <w:r w:rsidRPr="00C969C1">
              <w:rPr>
                <w:i/>
                <w:iCs/>
              </w:rPr>
              <w:t>lavoro’</w:t>
            </w:r>
            <w:proofErr w:type="spellEnd"/>
            <w:r w:rsidRPr="00C969C1">
              <w:rPr>
                <w:i/>
                <w:iCs/>
              </w:rPr>
              <w:t xml:space="preserve"> della persona (…)</w:t>
            </w:r>
            <w:r w:rsidRPr="00C969C1">
              <w:rPr>
                <w:i/>
                <w:iCs/>
              </w:rPr>
              <w:br/>
              <w:t>(...)”</w:t>
            </w:r>
            <w:r w:rsidRPr="00C969C1">
              <w:rPr>
                <w:i/>
                <w:iCs/>
              </w:rPr>
              <w:br/>
            </w:r>
            <w:proofErr w:type="gramStart"/>
            <w:r w:rsidRPr="00C969C1">
              <w:rPr>
                <w:i/>
                <w:iCs/>
              </w:rPr>
              <w:t>3.La</w:t>
            </w:r>
            <w:proofErr w:type="gramEnd"/>
            <w:r w:rsidRPr="00C969C1">
              <w:rPr>
                <w:i/>
                <w:iCs/>
              </w:rPr>
              <w:t xml:space="preserve"> direttiva europea riguardante la protezione delle persone che segnalano violazioni del diritto dell’Unione</w:t>
            </w:r>
            <w:r w:rsidRPr="00C969C1">
              <w:rPr>
                <w:i/>
                <w:iCs/>
              </w:rPr>
              <w:br/>
              <w:t>58. La direttiva (UE) 2019/1937 del Parlamento europeo e del Consiglio riguardante la protezione delle persone che segnalano violazioni del diritto dell’Unione è stata adottata il 23 ottobre 2019. Gli Stati membri dovevano far entrare in vigore le leggi, i regolamenti e i provvedimenti amministrativi necessari a conformarsi a tale direttiva entro il 17 dicembre 2021.</w:t>
            </w:r>
            <w:r w:rsidRPr="00C969C1">
              <w:rPr>
                <w:i/>
                <w:iCs/>
              </w:rPr>
              <w:br/>
              <w:t>La direttiva stabilisce le norme minime comuni per la protezione delle persone che segnalano violazioni del diritto dell’Unione in una serie di ambiti quali gli appalti pubblici, i servizi finanziari, la prevenzione del riciclaggio e del finanziamento al terrorismo, la sicurezza e la conformità dei prodotti, la sicurezza dei trasporti, la tutela dell’ambiente, la radioprotezione e la sicurezza nucleare, la sicurezza degli alimenti e dei mangimi, la salute e il benessere degli animali, la salute pubblica, la protezione dei consumatori, la tutela della vita privata e la protezione dei dati personali, e la sicurezza delle reti e dei sistemi informativi.</w:t>
            </w:r>
            <w:r w:rsidRPr="00C969C1">
              <w:rPr>
                <w:i/>
                <w:iCs/>
              </w:rPr>
              <w:br/>
              <w:t>Le pertinenti disposizioni della direttiva recitano:</w:t>
            </w:r>
            <w:r w:rsidRPr="00C969C1">
              <w:rPr>
                <w:i/>
                <w:iCs/>
              </w:rPr>
              <w:br/>
              <w:t>“il Parlamento europeo e il Consiglio dell’Unione europea (...)</w:t>
            </w:r>
            <w:r w:rsidRPr="00C969C1">
              <w:rPr>
                <w:i/>
                <w:iCs/>
              </w:rPr>
              <w:br/>
              <w:t>(...)</w:t>
            </w:r>
            <w:r w:rsidRPr="00C969C1">
              <w:rPr>
                <w:i/>
                <w:iCs/>
              </w:rPr>
              <w:br/>
              <w:t>Considerando quanto segue:</w:t>
            </w:r>
            <w:r w:rsidRPr="00C969C1">
              <w:rPr>
                <w:i/>
                <w:iCs/>
              </w:rPr>
              <w:br/>
              <w:t>(..)</w:t>
            </w:r>
            <w:r w:rsidRPr="00C969C1">
              <w:rPr>
                <w:i/>
                <w:iCs/>
              </w:rPr>
              <w:br/>
              <w:t>(32) Per beneficiare della protezione della presente direttiva, le persone segnalanti dovrebbero avere ragionevoli motivi di ritenere, alla luce delle circostanze e delle informazioni di cui dispongono al momento della segnalazione, che i fatti che segnalano sono veri. Tale requisito è una garanzia essenziale contro le segnalazioni dolose e futili o infondate, in modo da garantire che le persone che, al momento della segnalazione, hanno fornito deliberatamente e scientemente informazioni errate o fuorvianti, siano escluse dalla protezione. Al tempo stesso, tale requisito assicura che la persona segnalante continui a beneficiare della protezione laddove abbia effettuato una segnalazione imprecisa in buona fede. Analogamente, le persone segnalanti dovrebbero poter beneficiare della protezione prevista dalla presente direttiva se hanno fondati motivi per ritenere che le informazioni segnalate rientrino nel suo ambito di applicazione. I motivi che hanno indotto le persone segnalanti a effettuare la segnalazione dovrebbero essere irrilevanti al fine di decidere sulla concessione della protezione.</w:t>
            </w:r>
            <w:r w:rsidRPr="00C969C1">
              <w:rPr>
                <w:i/>
                <w:iCs/>
              </w:rPr>
              <w:br/>
              <w:t>(...)</w:t>
            </w:r>
            <w:r w:rsidRPr="00C969C1">
              <w:rPr>
                <w:i/>
                <w:iCs/>
              </w:rPr>
              <w:br/>
              <w:t>(33) (...) è necessario proteggere la divulgazione pubblica tenendo conto di principi democratici come la trasparenza e la responsabilità e di diritti fondamentali come la libertà di espressione e la libertà e il pluralismo dei mezzi di informazione, bilanciando nel contempo l’interesse dei datori di lavoro a gestire le loro organizzazioni e tutelare i loro interessi, da un lato, con la tutela del pubblico interesse, dall’altro, conformemente ai criteri elaborati dalla giurisprudenza della CEDU.</w:t>
            </w:r>
            <w:r w:rsidRPr="00C969C1">
              <w:rPr>
                <w:i/>
                <w:iCs/>
              </w:rPr>
              <w:br/>
              <w:t>(...)</w:t>
            </w:r>
            <w:r w:rsidRPr="00C969C1">
              <w:rPr>
                <w:i/>
                <w:iCs/>
              </w:rPr>
              <w:br/>
              <w:t xml:space="preserve">(43) Per prevenire efficacemente le violazioni del diritto dell’Unione, la protezione deve essere </w:t>
            </w:r>
            <w:r w:rsidRPr="00C969C1">
              <w:rPr>
                <w:i/>
                <w:iCs/>
              </w:rPr>
              <w:lastRenderedPageBreak/>
              <w:t>concessa alle persone che forniscono le informazioni necessarie per rivelare violazioni che sono già state commesse, violazioni che non sono ancora state commesse ma molto verosimilmente potrebbero esserlo, atti od omissioni che la persona segnalante abbia fondati motivi di ritenere violazioni, nonché tentativi di nascondere violazioni. Per gli stessi motivi la protezione è giustificata anche per le persone che non forniscono prove certe, ma espongono ragionevoli preoccupazioni o sospetti. Allo stesso tempo, la protezione non dovrebbe applicarsi alla segnalazione di informazioni che sono già totalmente di dominio pubblico, di notizie prive di fondamento e di voci di corridoio.</w:t>
            </w:r>
            <w:r w:rsidRPr="00C969C1">
              <w:rPr>
                <w:i/>
                <w:iCs/>
              </w:rPr>
              <w:br/>
              <w:t>(...)</w:t>
            </w:r>
            <w:r w:rsidRPr="00C969C1">
              <w:rPr>
                <w:i/>
                <w:iCs/>
              </w:rPr>
              <w:br/>
              <w:t>(46) Gli informatori costituiscono in particolare un’importante fonte per i giornalisti d’inchiesta. Il fatto di garantire una protezione efficace degli informatori dalle ritorsioni accresce la sicurezza giuridica dei potenziali informatori e di conseguenza incoraggia anche le segnalazioni mediante i mezzi di informazione. A tale riguardo la protezione degli informatori quali fonte giornalistica è fondamentale per salvaguardare la funzione di vigilanza del giornalismo d’inchiesta nelle società democratiche.</w:t>
            </w:r>
            <w:r w:rsidRPr="00C969C1">
              <w:rPr>
                <w:i/>
                <w:iCs/>
              </w:rPr>
              <w:br/>
              <w:t>(47) Per accertare e prevenire efficacemente le violazioni del diritto dell’Unione è essenziale che le informazioni pertinenti giungano rapidamente ai soggetti più vicini all’origine del problema, che sono i più atti a indagare e hanno i mezzi per porvi eventualmente rimedio. In linea di principio, le persone segnalanti dovrebbero pertanto essere incoraggiate a utilizzare in primo luogo i canali di segnalazione interni e a rivolgersi al loro datore di lavoro, ove tali canali siano disponibili e si possa ragionevolmente presumere che funzionino. Ciò vale, in particolare, nel caso in cui le persone segnalanti ritengano che la violazione possa essere affrontata efficacemente all’interno dell’organizzazione interessata e che non vi sia alcun rischio di ritorsioni. Di conseguenza, i soggetti giuridici del settore privato e del settore pubblico dovrebbero stabilire procedure interne appropriate per il ricevimento delle segnalazioni e il relativo seguito. Detto incoraggiamento interessa anche i casi in cui tali canali sono stati istituiti senza che ciò fosse imposto dal diritto dell’Unione o nazionale. Si tratta di un principio che dovrebbe favorire una cultura della buona comunicazione e della responsabilità sociale d’impresa all’interno delle organizzazioni nel cui ambito le persone segnalanti sono considerate elementi che contribuiscono in modo significativo all’autocorrezione e all’eccellenza.</w:t>
            </w:r>
            <w:r w:rsidRPr="00C969C1">
              <w:rPr>
                <w:i/>
                <w:iCs/>
              </w:rPr>
              <w:br/>
              <w:t>(…)</w:t>
            </w:r>
            <w:r w:rsidRPr="00C969C1">
              <w:rPr>
                <w:i/>
                <w:iCs/>
              </w:rPr>
              <w:br/>
              <w:t>Articolo 2</w:t>
            </w:r>
            <w:r w:rsidRPr="00C969C1">
              <w:rPr>
                <w:i/>
                <w:iCs/>
              </w:rPr>
              <w:br/>
              <w:t>Ambito di applicazione materiale</w:t>
            </w:r>
            <w:r w:rsidRPr="00C969C1">
              <w:rPr>
                <w:i/>
                <w:iCs/>
              </w:rPr>
              <w:br/>
              <w:t>“1. La presente direttiva stabilisce norme minime comuni di protezione delle persone che segnalano le seguenti violazioni del diritto dell’Unione:</w:t>
            </w:r>
            <w:r w:rsidRPr="00C969C1">
              <w:rPr>
                <w:i/>
                <w:iCs/>
              </w:rPr>
              <w:br/>
              <w:t>(a) violazioni che rientrano nell’ambito di applicazione degli atti dell’Unione di cui all’allegato relativamente ai seguenti settori:</w:t>
            </w:r>
            <w:r w:rsidRPr="00C969C1">
              <w:rPr>
                <w:i/>
                <w:iCs/>
              </w:rPr>
              <w:br/>
              <w:t>(i) appalti pubblici;</w:t>
            </w:r>
            <w:r w:rsidRPr="00C969C1">
              <w:rPr>
                <w:i/>
                <w:iCs/>
              </w:rPr>
              <w:br/>
              <w:t>(ii) servizi, prodotti e mercati finanziari e prevenzione del riciclaggio e del finanziamento del terrorismo;</w:t>
            </w:r>
            <w:r w:rsidRPr="00C969C1">
              <w:rPr>
                <w:i/>
                <w:iCs/>
              </w:rPr>
              <w:br/>
              <w:t>(iii) sicurezza e conformità dei prodotti;</w:t>
            </w:r>
            <w:r w:rsidRPr="00C969C1">
              <w:rPr>
                <w:i/>
                <w:iCs/>
              </w:rPr>
              <w:br/>
              <w:t>(iv) sicurezza dei trasporti;</w:t>
            </w:r>
            <w:r w:rsidRPr="00C969C1">
              <w:rPr>
                <w:i/>
                <w:iCs/>
              </w:rPr>
              <w:br/>
            </w:r>
            <w:r w:rsidRPr="00C969C1">
              <w:rPr>
                <w:i/>
                <w:iCs/>
              </w:rPr>
              <w:lastRenderedPageBreak/>
              <w:t>(v) tutela dell’ambiente;</w:t>
            </w:r>
            <w:r w:rsidRPr="00C969C1">
              <w:rPr>
                <w:i/>
                <w:iCs/>
              </w:rPr>
              <w:br/>
              <w:t>(vi) radioprotezione e sicurezza nucleare;</w:t>
            </w:r>
            <w:r w:rsidRPr="00C969C1">
              <w:rPr>
                <w:i/>
                <w:iCs/>
              </w:rPr>
              <w:br/>
              <w:t>(vii) sicurezza degli alimenti e dei mangimi e salute e benessere degli animali;</w:t>
            </w:r>
            <w:r w:rsidRPr="00C969C1">
              <w:rPr>
                <w:i/>
                <w:iCs/>
              </w:rPr>
              <w:br/>
              <w:t>(viii) salute pubblica;</w:t>
            </w:r>
            <w:r w:rsidRPr="00C969C1">
              <w:rPr>
                <w:i/>
                <w:iCs/>
              </w:rPr>
              <w:br/>
              <w:t>(ix) protezione dei consumatori;</w:t>
            </w:r>
            <w:r w:rsidRPr="00C969C1">
              <w:rPr>
                <w:i/>
                <w:iCs/>
              </w:rPr>
              <w:br/>
              <w:t>(x) tutela della vita privata e protezione dei dati personali, e sicurezza delle reti e dei sistemi informativi;</w:t>
            </w:r>
            <w:r w:rsidRPr="00C969C1">
              <w:rPr>
                <w:i/>
                <w:iCs/>
              </w:rPr>
              <w:br/>
              <w:t>(b) violazioni che ledono gli interessi finanziari dell’Unione di cui all’articolo 325 TFUE e ulteriormente specificate nelle pertinenti misure dell’Unione;</w:t>
            </w:r>
            <w:r w:rsidRPr="00C969C1">
              <w:rPr>
                <w:i/>
                <w:iCs/>
              </w:rPr>
              <w:br/>
              <w:t>(c) violazioni riguardanti il mercato interno, di cui all’articolo 26, paragrafo 2, TFUE, comprese violazioni delle norme dell’Unione in materia di concorrenza e di aiuti di Stato, nonché violazioni riguardanti il mercato interno connesse ad atti che violano le norme in materia di imposta sulle società o i meccanismi il cui fine è ottenere un vantaggio fiscale che vanifica l’oggetto o la finalità della normativa applicabile in materia di imposta sulle società.</w:t>
            </w:r>
            <w:r w:rsidRPr="00C969C1">
              <w:rPr>
                <w:i/>
                <w:iCs/>
              </w:rPr>
              <w:br/>
              <w:t>2. La presente direttiva non pregiudica il potere degli Stati membri di estendere la protezione prevista dal diritto nazionale relativamente a settori o atti non contemplati dal paragrafo 1.”</w:t>
            </w:r>
            <w:r w:rsidRPr="00C969C1">
              <w:rPr>
                <w:i/>
                <w:iCs/>
              </w:rPr>
              <w:br/>
              <w:t>Articolo 3</w:t>
            </w:r>
            <w:r w:rsidRPr="00C969C1">
              <w:rPr>
                <w:i/>
                <w:iCs/>
              </w:rPr>
              <w:br/>
              <w:t>Relazione con altri atti dell’Unione e con le disposizioni nazionali</w:t>
            </w:r>
            <w:r w:rsidRPr="00C969C1">
              <w:rPr>
                <w:i/>
                <w:iCs/>
              </w:rPr>
              <w:br/>
              <w:t>“1. Laddove siano previste norme specifiche sulla segnalazione delle violazioni negli atti settoriali dell’Unione elencati nella parte II dell’allegato, si applicano tali norme. Le disposizioni della presente direttiva si applicano nella misura in cui una materia non sia obbligatoriamente disciplinata da tali atti settoriali dell’Unione.</w:t>
            </w:r>
            <w:r w:rsidRPr="00C969C1">
              <w:rPr>
                <w:i/>
                <w:iCs/>
              </w:rPr>
              <w:br/>
              <w:t>2. La presente direttiva non pregiudica la responsabilità degli Stati membri di garantire la sicurezza nazionale né il loro potere di tutelare i propri interessi essenziali di sicurezza. In particolare, non si applica alle segnalazioni di violazioni delle norme in materia di appalti concernenti aspetti di difesa o di sicurezza, a meno che tali aspetti non rientrino negli atti pertinenti dell’Unione.</w:t>
            </w:r>
            <w:r w:rsidRPr="00C969C1">
              <w:rPr>
                <w:i/>
                <w:iCs/>
              </w:rPr>
              <w:br/>
              <w:t>3. La presente direttiva non pregiudica l’applicazione del diritto dell’Unione o nazionale concernente una delle seguenti:</w:t>
            </w:r>
            <w:r w:rsidRPr="00C969C1">
              <w:rPr>
                <w:i/>
                <w:iCs/>
              </w:rPr>
              <w:br/>
              <w:t>(a) la protezione delle informazioni classificate;</w:t>
            </w:r>
            <w:r w:rsidRPr="00C969C1">
              <w:rPr>
                <w:i/>
                <w:iCs/>
              </w:rPr>
              <w:br/>
              <w:t>(b) la protezione del segreto professionale forense e medico;</w:t>
            </w:r>
            <w:r w:rsidRPr="00C969C1">
              <w:rPr>
                <w:i/>
                <w:iCs/>
              </w:rPr>
              <w:br/>
              <w:t>(c) la segretezza delle deliberazioni degli organi giudiziari;</w:t>
            </w:r>
            <w:r w:rsidRPr="00C969C1">
              <w:rPr>
                <w:i/>
                <w:iCs/>
              </w:rPr>
              <w:br/>
              <w:t>(d) norme di procedura penale.</w:t>
            </w:r>
            <w:r w:rsidRPr="00C969C1">
              <w:rPr>
                <w:i/>
                <w:iCs/>
              </w:rPr>
              <w:br/>
              <w:t>4. La presente direttiva lascia impregiudicate le norme nazionali relative all’esercizio da parte dei lavoratori dei loro diritti di consultare i propri rappresentanti o sindacati, alla protezione contro eventuali misure lesive ingiustificate determinate da tali consultazioni, nonché all’autonomia delle parti sociali e al loro diritto di stipulare accordi collettivi. Questo non pregiudica il livello di protezione offerto dalla presente direttiva.”</w:t>
            </w:r>
            <w:r w:rsidRPr="00C969C1">
              <w:rPr>
                <w:i/>
                <w:iCs/>
              </w:rPr>
              <w:br/>
              <w:t>Articolo 4</w:t>
            </w:r>
            <w:r w:rsidRPr="00C969C1">
              <w:rPr>
                <w:i/>
                <w:iCs/>
              </w:rPr>
              <w:br/>
              <w:t>Ambito di applicazione personale</w:t>
            </w:r>
            <w:r w:rsidRPr="00C969C1">
              <w:rPr>
                <w:i/>
                <w:iCs/>
              </w:rPr>
              <w:br/>
              <w:t xml:space="preserve">“1. La presente direttiva si applica alle persone segnalanti che lavorano nel settore privato o pubblico che hanno acquisito informazioni sulle violazioni in un contesto lavorativo, compresi </w:t>
            </w:r>
            <w:r w:rsidRPr="00C969C1">
              <w:rPr>
                <w:i/>
                <w:iCs/>
              </w:rPr>
              <w:lastRenderedPageBreak/>
              <w:t>almeno:</w:t>
            </w:r>
            <w:r w:rsidRPr="00C969C1">
              <w:rPr>
                <w:i/>
                <w:iCs/>
              </w:rPr>
              <w:br/>
              <w:t>(a) le persone aventi la qualità di lavoratore ai sensi dell’articolo 45, paragrafo 1, TFUE, compresi i dipendenti pubblici;</w:t>
            </w:r>
            <w:r w:rsidRPr="00C969C1">
              <w:rPr>
                <w:i/>
                <w:iCs/>
              </w:rPr>
              <w:br/>
              <w:t>(b) persone aventi la qualità di lavoratore autonomo ai sensi dell’articolo 49 TFUE;</w:t>
            </w:r>
            <w:r w:rsidRPr="00C969C1">
              <w:rPr>
                <w:i/>
                <w:iCs/>
              </w:rPr>
              <w:br/>
              <w:t>(c) gli azionisti e i membri dell’organo di amministrazione, direzione o vigilanza di un’impresa, compresi i membri senza incarichi esecutivi, i volontari e i tirocinanti retribuiti e non retribuiti;</w:t>
            </w:r>
            <w:r w:rsidRPr="00C969C1">
              <w:rPr>
                <w:i/>
                <w:iCs/>
              </w:rPr>
              <w:br/>
              <w:t>(d) qualsiasi persona che lavora sotto la supervisione e la direzione di appaltatori, subappaltatori e fornitori.</w:t>
            </w:r>
            <w:r w:rsidRPr="00C969C1">
              <w:rPr>
                <w:i/>
                <w:iCs/>
              </w:rPr>
              <w:br/>
              <w:t>2. La presente direttiva si applica altresì alle persone segnalanti qualora segnalino o divulghino pubblicamente informazioni sulle violazioni acquisite nell’ambito di un rapporto di lavoro nel frattempo terminato.</w:t>
            </w:r>
            <w:r w:rsidRPr="00C969C1">
              <w:rPr>
                <w:i/>
                <w:iCs/>
              </w:rPr>
              <w:br/>
              <w:t>3. La presente direttiva si applica inoltre alle persone segnalanti il cui rapporto di lavoro non è ancora iniziato nei casi in cui le informazioni riguardanti una violazione sono state acquisite durante il processo di selezione o altre fasi delle trattative precontrattuali.”</w:t>
            </w:r>
            <w:r w:rsidRPr="00C969C1">
              <w:rPr>
                <w:i/>
                <w:iCs/>
              </w:rPr>
              <w:br/>
              <w:t>(...)</w:t>
            </w:r>
            <w:r w:rsidRPr="00C969C1">
              <w:rPr>
                <w:i/>
                <w:iCs/>
              </w:rPr>
              <w:br/>
              <w:t>Articolo 6</w:t>
            </w:r>
            <w:r w:rsidRPr="00C969C1">
              <w:rPr>
                <w:i/>
                <w:iCs/>
              </w:rPr>
              <w:br/>
              <w:t>Condizioni per la protezione delle persone segnalanti</w:t>
            </w:r>
            <w:r w:rsidRPr="00C969C1">
              <w:rPr>
                <w:i/>
                <w:iCs/>
              </w:rPr>
              <w:br/>
              <w:t>“1. Le persone segnalanti beneficiano di protezione a norma della presente direttiva, a condizione che:</w:t>
            </w:r>
            <w:r w:rsidRPr="00C969C1">
              <w:rPr>
                <w:i/>
                <w:iCs/>
              </w:rPr>
              <w:br/>
              <w:t>(a) abbiano avuto fondati motivi di ritenere che le informazioni segnalate fossero vere al momento della segnalazione e che tali informazioni rientrassero nell’ambito di applicazione della presente direttiva; e</w:t>
            </w:r>
            <w:r w:rsidRPr="00C969C1">
              <w:rPr>
                <w:i/>
                <w:iCs/>
              </w:rPr>
              <w:br/>
              <w:t>(b) abbiano effettuato una segnalazione internamente a norma dell’articolo 7 o esternamente a norma dell’articolo 10, ovvero abbiano effettuato una divulgazione pubblica a norma dell’articolo 15.</w:t>
            </w:r>
            <w:r w:rsidRPr="00C969C1">
              <w:rPr>
                <w:i/>
                <w:iCs/>
              </w:rPr>
              <w:br/>
              <w:t>(...)”</w:t>
            </w:r>
            <w:r w:rsidRPr="00C969C1">
              <w:rPr>
                <w:i/>
                <w:iCs/>
              </w:rPr>
              <w:br/>
              <w:t>Articolo 7</w:t>
            </w:r>
            <w:r w:rsidRPr="00C969C1">
              <w:rPr>
                <w:i/>
                <w:iCs/>
              </w:rPr>
              <w:br/>
              <w:t>Segnalazione attraverso canali di segnalazione interni</w:t>
            </w:r>
            <w:r w:rsidRPr="00C969C1">
              <w:rPr>
                <w:i/>
                <w:iCs/>
              </w:rPr>
              <w:br/>
              <w:t>“1. In linea generale e fatti salvi gli articoli 10 e 15, le informazioni sulle violazioni possono essere segnalate attraverso i canali di segnalazione e le procedure interni di cui al presente capo.</w:t>
            </w:r>
            <w:r w:rsidRPr="00C969C1">
              <w:rPr>
                <w:i/>
                <w:iCs/>
              </w:rPr>
              <w:br/>
              <w:t>2. Gli Stati membri incoraggiano le segnalazioni mediante canali di segnalazione interni prima di effettuare segnalazioni mediante canali di segnalazione esterni, laddove la violazione possa essere affrontata efficacemente a livello interno e la persona segnalante ritenga che non sussista il rischio di ritorsioni.</w:t>
            </w:r>
            <w:r w:rsidRPr="00C969C1">
              <w:rPr>
                <w:i/>
                <w:iCs/>
              </w:rPr>
              <w:br/>
              <w:t>(...)”</w:t>
            </w:r>
            <w:r w:rsidRPr="00C969C1">
              <w:rPr>
                <w:i/>
                <w:iCs/>
              </w:rPr>
              <w:br/>
              <w:t>Articolo 10</w:t>
            </w:r>
            <w:r w:rsidRPr="00C969C1">
              <w:rPr>
                <w:i/>
                <w:iCs/>
              </w:rPr>
              <w:br/>
              <w:t>Segnalazione attraverso canali di segnalazione esterni</w:t>
            </w:r>
            <w:r w:rsidRPr="00C969C1">
              <w:rPr>
                <w:i/>
                <w:iCs/>
              </w:rPr>
              <w:br/>
              <w:t>“Fatto salvo l’articolo 15, paragrafo 1, lettera b), le persone segnalanti forniscono informazioni sulle violazioni utilizzando i canali e le procedure di cui agli articoli 11 e 12, dopo aver utilizzato i canali interni di segnalazione, o effettuando una segnalazione direttamente attraverso i canali di segnalazione esterni.</w:t>
            </w:r>
            <w:r w:rsidRPr="00C969C1">
              <w:rPr>
                <w:i/>
                <w:iCs/>
              </w:rPr>
              <w:br/>
            </w:r>
            <w:r w:rsidRPr="00C969C1">
              <w:rPr>
                <w:i/>
                <w:iCs/>
              </w:rPr>
              <w:lastRenderedPageBreak/>
              <w:t>(...)”</w:t>
            </w:r>
            <w:r w:rsidRPr="00C969C1">
              <w:rPr>
                <w:i/>
                <w:iCs/>
              </w:rPr>
              <w:br/>
              <w:t>Articolo 15</w:t>
            </w:r>
            <w:r w:rsidRPr="00C969C1">
              <w:rPr>
                <w:i/>
                <w:iCs/>
              </w:rPr>
              <w:br/>
              <w:t>Divulgazioni pubbliche</w:t>
            </w:r>
            <w:r w:rsidRPr="00C969C1">
              <w:rPr>
                <w:i/>
                <w:iCs/>
              </w:rPr>
              <w:br/>
              <w:t>“1. Una persona che effettua una divulgazione pubblica beneficia della protezione prevista dalla presente direttiva se ricorre una delle seguenti condizioni:</w:t>
            </w:r>
            <w:r w:rsidRPr="00C969C1">
              <w:rPr>
                <w:i/>
                <w:iCs/>
              </w:rPr>
              <w:br/>
              <w:t>(a) la persona segnalante ha prima segnalato internamente ed esternamente, o direttamente esternamente conformemente ai capi II e III, ma non è stata intrapresa un’azione appropriata in risposta alla segnalazione entro il termine di cui all’articolo 9, paragrafo 1, lettera f), o all’articolo 11, paragrafo 2, lettera d); oppure</w:t>
            </w:r>
            <w:r w:rsidRPr="00C969C1">
              <w:rPr>
                <w:i/>
                <w:iCs/>
              </w:rPr>
              <w:br/>
              <w:t>(b) la persona segnalante aveva fondati motivi di ritenere che:</w:t>
            </w:r>
            <w:r w:rsidRPr="00C969C1">
              <w:rPr>
                <w:i/>
                <w:iCs/>
              </w:rPr>
              <w:br/>
              <w:t>(i) la violazione possa costituire un pericolo imminente o palese per il pubblico interesse, come nel caso in cui sussista una situazione di emergenza o il rischio di danno irreversibile; oppure</w:t>
            </w:r>
            <w:r w:rsidRPr="00C969C1">
              <w:rPr>
                <w:i/>
                <w:iCs/>
              </w:rPr>
              <w:br/>
              <w:t>(ii) in caso di segnalazione esterna, sussista il rischio di ritorsioni o le prospettive che la violazione sia affrontata efficacemente siano scarse per via delle circostanze del caso di specie, come quelle in cui possano essere occultate o distrutte prove oppure in cui un’autorità possa essere collusa con l’autore della violazione o coinvolta nella violazione stessa.</w:t>
            </w:r>
            <w:r w:rsidRPr="00C969C1">
              <w:rPr>
                <w:i/>
                <w:iCs/>
              </w:rPr>
              <w:br/>
              <w:t>2. Il presente articolo non si applica a casi in cui una persona divulghi direttamente informazioni alla stampa conformemente a specifiche disposizioni nazionali che stabiliscono un sistema di protezione relativo alla libertà di espressione e d’informazione.</w:t>
            </w:r>
            <w:r w:rsidRPr="00C969C1">
              <w:rPr>
                <w:i/>
                <w:iCs/>
              </w:rPr>
              <w:br/>
              <w:t>(...)”</w:t>
            </w:r>
            <w:r w:rsidRPr="00C969C1">
              <w:rPr>
                <w:i/>
                <w:iCs/>
              </w:rPr>
              <w:br/>
              <w:t>Articolo 19</w:t>
            </w:r>
            <w:r w:rsidRPr="00C969C1">
              <w:rPr>
                <w:i/>
                <w:iCs/>
              </w:rPr>
              <w:br/>
              <w:t>Divieto di ritorsione</w:t>
            </w:r>
            <w:r w:rsidRPr="00C969C1">
              <w:rPr>
                <w:i/>
                <w:iCs/>
              </w:rPr>
              <w:br/>
              <w:t>“Gli Stati membri adottano le misure necessarie per vietare qualsiasi forma di ritorsione contro le persone di cui all’articolo 4, comprese minacce e tentativi di ritorsione (...)</w:t>
            </w:r>
            <w:r w:rsidRPr="00C969C1">
              <w:rPr>
                <w:i/>
                <w:iCs/>
              </w:rPr>
              <w:br/>
              <w:t>(...)”</w:t>
            </w:r>
          </w:p>
          <w:p w14:paraId="7369FF8C" w14:textId="77777777" w:rsidR="00C969C1" w:rsidRPr="00C969C1" w:rsidRDefault="00C969C1" w:rsidP="00C969C1">
            <w:pPr>
              <w:rPr>
                <w:i/>
                <w:iCs/>
              </w:rPr>
            </w:pPr>
            <w:r w:rsidRPr="00C969C1">
              <w:rPr>
                <w:i/>
                <w:iCs/>
              </w:rPr>
              <w:t>IN DIRITTO</w:t>
            </w:r>
            <w:r w:rsidRPr="00C969C1">
              <w:rPr>
                <w:i/>
                <w:iCs/>
              </w:rPr>
              <w:br/>
              <w:t>I.SULLA DEDOTTA VIOLAZIONE DELL’ARTICOLO 10 DELLA CONVENZIONE</w:t>
            </w:r>
            <w:r w:rsidRPr="00C969C1">
              <w:rPr>
                <w:i/>
                <w:iCs/>
              </w:rPr>
              <w:br/>
              <w:t>59. Il ricorrente ha sostenuto che la sua condanna penale costituiva un’ingerenza sproporzionata nel suo diritto alla libertà di espressione previsto dall’articolo 10 della Convenzione, che recita:</w:t>
            </w:r>
            <w:r w:rsidRPr="00C969C1">
              <w:rPr>
                <w:i/>
                <w:iCs/>
              </w:rPr>
              <w:br/>
              <w:t>“1. Ogni persona ha diritto alla libertà d’espressione. Tale diritto include la libertà d’opinione e la libertà di ricevere o di comunicare informazioni o idee senza che vi possa essere ingerenza da parte delle autorità pubbliche e senza limiti di frontiera. (...)</w:t>
            </w:r>
            <w:r w:rsidRPr="00C969C1">
              <w:rPr>
                <w:i/>
                <w:iCs/>
              </w:rPr>
              <w:br/>
              <w:t>2. L’esercizio di queste libertà, poiché comporta doveri e responsabilità, può essere sottoposto alle formalità, condizioni, restrizioni o sanzioni che sono previste dalla legge e che costituiscono misure necessarie, in una società democratica, alla sicurezza nazionale, all’integrità territoriale o alla pubblica sicurezza, alla difesa dell’ordine e alla prevenzione dei reati, alla protezione della salute o della morale, alla protezione della reputazione o dei diritti altrui, per impedire la divulgazione di informazioni riservate o per garantire l’autorità e l’imparzialità del potere giudiziario.”</w:t>
            </w:r>
            <w:r w:rsidRPr="00C969C1">
              <w:rPr>
                <w:i/>
                <w:iCs/>
              </w:rPr>
              <w:br/>
            </w:r>
            <w:proofErr w:type="spellStart"/>
            <w:r w:rsidRPr="00C969C1">
              <w:rPr>
                <w:i/>
                <w:iCs/>
              </w:rPr>
              <w:t>A.La</w:t>
            </w:r>
            <w:proofErr w:type="spellEnd"/>
            <w:r w:rsidRPr="00C969C1">
              <w:rPr>
                <w:i/>
                <w:iCs/>
              </w:rPr>
              <w:t xml:space="preserve"> sentenza della Camera</w:t>
            </w:r>
            <w:r w:rsidRPr="00C969C1">
              <w:rPr>
                <w:i/>
                <w:iCs/>
              </w:rPr>
              <w:br/>
              <w:t xml:space="preserve">60. Con sentenza in data 11 maggio 2021, la Camera aveva innanzitutto riconosciuto che il ricorrente, in linea di principio, poteva essere considerato un autore di segnalazioni di illeciti o </w:t>
            </w:r>
            <w:r w:rsidRPr="00C969C1">
              <w:rPr>
                <w:i/>
                <w:iCs/>
              </w:rPr>
              <w:lastRenderedPageBreak/>
              <w:t xml:space="preserve">irregolarità ai fini della giurisprudenza della Corte. Aveva poi cercato di verificare se i tribunali nazionali avessero rispettato i vari criteri elaborati nella sentenza </w:t>
            </w:r>
            <w:proofErr w:type="spellStart"/>
            <w:r w:rsidRPr="00C969C1">
              <w:rPr>
                <w:i/>
                <w:iCs/>
              </w:rPr>
              <w:t>Guja</w:t>
            </w:r>
            <w:proofErr w:type="spellEnd"/>
            <w:r w:rsidRPr="00C969C1">
              <w:rPr>
                <w:i/>
                <w:iCs/>
              </w:rPr>
              <w:t xml:space="preserve"> (</w:t>
            </w:r>
            <w:proofErr w:type="spellStart"/>
            <w:r w:rsidRPr="00C969C1">
              <w:rPr>
                <w:i/>
                <w:iCs/>
              </w:rPr>
              <w:t>Guja</w:t>
            </w:r>
            <w:proofErr w:type="spellEnd"/>
            <w:r w:rsidRPr="00C969C1">
              <w:rPr>
                <w:i/>
                <w:iCs/>
              </w:rPr>
              <w:t xml:space="preserve"> c. Moldova [GC], n. 14277/04, §§ 74-95, CEDU 2008), ovvero la disponibilità di canali alternativi per effettuare la segnalazione, l’interesse pubblico presentato dalle informazioni divulgate, la buona fede del ricorrente, l’autenticità delle informazioni divulgate, il danno provocato al datore di lavoro e la severità della sanzione. Osservando che non vi era controversia tra le parti in ordine ai primi quattro criteri, la Camera aveva concluso che nel caso di specie erano in questione soltanto i criteri riguardanti, in primo luogo, il bilanciamento tra l’interesse pubblico verso le informazioni divulgate e il danno provocato al datore di lavoro e, in secondo luogo, la severità della sanzione.</w:t>
            </w:r>
            <w:r w:rsidRPr="00C969C1">
              <w:rPr>
                <w:i/>
                <w:iCs/>
              </w:rPr>
              <w:br/>
              <w:t>61. La Camera aveva pertanto tenuto conto del bilanciamento degli interessi svolto dai tribunali interni. In proposito si era riallacciata alla conclusione della Corte di appello secondo la quale i documenti divulgati dal ricorrente non avevano “fornito informazioni essenziali, nuove e inedite”. Commentando tali aggettivi qualificativi, la Camera aveva ritenuto che la Corte di appello non avesse aggiunto nuovi criteri a quelli fissati dalla giurisprudenza della Corte in materia, poiché “al contrario” tali tre qualificativi “erano stati assorbiti nell’approfondito ragionamento della Corte di appello (…) concernente il bilanciamento degli interessi privati e pubblici in gioco”. Nel far ciò, aveva descritto i termini come “precisazioni che, in altre circostanze, avrebbero potuto essere considerate troppo restrittive, ma che nel caso di specie, insieme agli altri elementi presi in considerazione dalla Corte di appello, erano servite a pervenire alla conclusione che le rivelazioni del ricorrente non presentavano un interesse sufficiente a controbilanciare il danno subito dalla PwC” (§ 109 della sentenza della Camera). La Camera aveva concluso che la Corte di appello si era limitata a un attento esame delle prove alla luce dei criteri fissati dalla giurisprudenza della Corte, concludendo in base ad essi che i documenti divulgati dal ricorrente non presentavano un interesse sufficiente, tenuto conto del danno provocato dalla loro divulgazione, a giustificare la sua assoluzione.</w:t>
            </w:r>
            <w:r w:rsidRPr="00C969C1">
              <w:rPr>
                <w:i/>
                <w:iCs/>
              </w:rPr>
              <w:br/>
              <w:t>62. In ordine al criterio relativo alla severità della sanzione, la Camera aveva ritenuto che la multa inflitta al ricorrente fosse relativamente lieve e non provocasse un vero e proprio effetto dissuasivo sull’esercizio della libertà di espressione del ricorrente o degli altri dipendenti (§ 111 della sentenza della Camera).</w:t>
            </w:r>
            <w:r w:rsidRPr="00C969C1">
              <w:rPr>
                <w:i/>
                <w:iCs/>
              </w:rPr>
              <w:br/>
              <w:t>63. Ritenendo che i tribunali interni avessero conseguito un giusto equilibrio tra, da un lato, la necessità di tutelare i diritti del datore di lavoro del ricorrente e, dall’altro, la necessità di proteggere la libertà di espressione di quest’ultimo, la Camera aveva concluso, con cinque voti contro due, che non vi era stata violazione dell’articolo 10 della Convenzione.</w:t>
            </w:r>
            <w:r w:rsidRPr="00C969C1">
              <w:rPr>
                <w:i/>
                <w:iCs/>
              </w:rPr>
              <w:br/>
            </w:r>
            <w:proofErr w:type="spellStart"/>
            <w:proofErr w:type="gramStart"/>
            <w:r w:rsidRPr="00C969C1">
              <w:rPr>
                <w:i/>
                <w:iCs/>
              </w:rPr>
              <w:t>B.Le</w:t>
            </w:r>
            <w:proofErr w:type="spellEnd"/>
            <w:proofErr w:type="gramEnd"/>
            <w:r w:rsidRPr="00C969C1">
              <w:rPr>
                <w:i/>
                <w:iCs/>
              </w:rPr>
              <w:t xml:space="preserve"> osservazioni delle parti</w:t>
            </w:r>
            <w:r w:rsidRPr="00C969C1">
              <w:rPr>
                <w:i/>
                <w:iCs/>
              </w:rPr>
              <w:br/>
              <w:t>1.Le osservazioni del ricorrente</w:t>
            </w:r>
            <w:r w:rsidRPr="00C969C1">
              <w:rPr>
                <w:i/>
                <w:iCs/>
              </w:rPr>
              <w:br/>
              <w:t xml:space="preserve">64. Il ricorrente ha sostenuto che i tribunali interni avevano applicato i criteri individuati nella sentenza </w:t>
            </w:r>
            <w:proofErr w:type="spellStart"/>
            <w:r w:rsidRPr="00C969C1">
              <w:rPr>
                <w:i/>
                <w:iCs/>
              </w:rPr>
              <w:t>Guja</w:t>
            </w:r>
            <w:proofErr w:type="spellEnd"/>
            <w:r w:rsidRPr="00C969C1">
              <w:rPr>
                <w:i/>
                <w:iCs/>
              </w:rPr>
              <w:t xml:space="preserve"> (sopra citati, </w:t>
            </w:r>
            <w:proofErr w:type="gramStart"/>
            <w:r w:rsidRPr="00C969C1">
              <w:rPr>
                <w:i/>
                <w:iCs/>
              </w:rPr>
              <w:t>in prosieguo</w:t>
            </w:r>
            <w:proofErr w:type="gramEnd"/>
            <w:r w:rsidRPr="00C969C1">
              <w:rPr>
                <w:i/>
                <w:iCs/>
              </w:rPr>
              <w:t xml:space="preserve"> i criteri </w:t>
            </w:r>
            <w:proofErr w:type="spellStart"/>
            <w:r w:rsidRPr="00C969C1">
              <w:rPr>
                <w:i/>
                <w:iCs/>
              </w:rPr>
              <w:t>Guja</w:t>
            </w:r>
            <w:proofErr w:type="spellEnd"/>
            <w:r w:rsidRPr="00C969C1">
              <w:rPr>
                <w:i/>
                <w:iCs/>
              </w:rPr>
              <w:t xml:space="preserve">) per dedurne che egli non era un autore di segnalazioni di illeciti o irregolarità e rifiutargli la protezione comportata da tale status. In proposito egli ha sottolineato che benché la Camera gli avesse dapprima accordato lo status di autore di segnalazioni di illeciti o irregolarità, esaminando poi se il rifiuto di concedergli il beneficio del regime di tutela previsto per tale status derivasse da una corretta applicazione dei “criteri </w:t>
            </w:r>
            <w:proofErr w:type="spellStart"/>
            <w:r w:rsidRPr="00C969C1">
              <w:rPr>
                <w:i/>
                <w:iCs/>
              </w:rPr>
              <w:lastRenderedPageBreak/>
              <w:t>Guja</w:t>
            </w:r>
            <w:proofErr w:type="spellEnd"/>
            <w:r w:rsidRPr="00C969C1">
              <w:rPr>
                <w:i/>
                <w:iCs/>
              </w:rPr>
              <w:t>”, la Corte di appello, al contrario, aveva prima verificato la presenza degli elementi costitutivi necessari per il regime di tutela previsto per gli autori di segnalazioni, per poi concludere che non gli spettava il relativo status.</w:t>
            </w:r>
            <w:r w:rsidRPr="00C969C1">
              <w:rPr>
                <w:i/>
                <w:iCs/>
              </w:rPr>
              <w:br/>
              <w:t xml:space="preserve">65. Il ricorrente ha osservato che oltre alla necessità di chiarire l’ordine in cui dovevano essere esaminate tali questioni, era necessario anche specificare le condizioni dell’esercizio di bilanciamento che, nel quadro dell’applicazione dei “criteri </w:t>
            </w:r>
            <w:proofErr w:type="spellStart"/>
            <w:r w:rsidRPr="00C969C1">
              <w:rPr>
                <w:i/>
                <w:iCs/>
              </w:rPr>
              <w:t>Guja</w:t>
            </w:r>
            <w:proofErr w:type="spellEnd"/>
            <w:r w:rsidRPr="00C969C1">
              <w:rPr>
                <w:i/>
                <w:iCs/>
              </w:rPr>
              <w:t xml:space="preserve">”, doveva essere effettuato tra gli interessi concorrenti. In generale il ricorrente ha criticato la Corte di appello perché aveva applicato i “criteri </w:t>
            </w:r>
            <w:proofErr w:type="spellStart"/>
            <w:r w:rsidRPr="00C969C1">
              <w:rPr>
                <w:i/>
                <w:iCs/>
              </w:rPr>
              <w:t>Guja</w:t>
            </w:r>
            <w:proofErr w:type="spellEnd"/>
            <w:r w:rsidRPr="00C969C1">
              <w:rPr>
                <w:i/>
                <w:iCs/>
              </w:rPr>
              <w:t xml:space="preserve">” considerandoli isolatamente. Invocando in proposito l’opinione dissenziente allegata alla sentenza della Camera, egli ha osservato che la ponderazione degli interessi concorrenti nel quadro del “quinto criterio della giurisprudenza </w:t>
            </w:r>
            <w:proofErr w:type="spellStart"/>
            <w:proofErr w:type="gramStart"/>
            <w:r w:rsidRPr="00C969C1">
              <w:rPr>
                <w:i/>
                <w:iCs/>
              </w:rPr>
              <w:t>Guja</w:t>
            </w:r>
            <w:proofErr w:type="spellEnd"/>
            <w:r w:rsidRPr="00C969C1">
              <w:rPr>
                <w:i/>
                <w:iCs/>
              </w:rPr>
              <w:t>“ non</w:t>
            </w:r>
            <w:proofErr w:type="gramEnd"/>
            <w:r w:rsidRPr="00C969C1">
              <w:rPr>
                <w:i/>
                <w:iCs/>
              </w:rPr>
              <w:t xml:space="preserve"> doveva essere effettuata in maniera isolata, ma alla luce di un’analisi globale fondata sull’articolo 10 che tenesse conto di tutti i criteri pertinenti.</w:t>
            </w:r>
            <w:r w:rsidRPr="00C969C1">
              <w:rPr>
                <w:i/>
                <w:iCs/>
              </w:rPr>
              <w:br/>
              <w:t xml:space="preserve">66. In ordine, in primo luogo, al danno provocato dalle rivelazioni impugnate di cui occorreva tenere conto nell’esercizio di bilanciamento, il ricorrente ha ripercorso gli sviluppi della giurisprudenza della Corte e ha sostenuto che tale concetto si era evoluto nella direzione del “danno provocato al datore di lavoro” (ha fatto riferimento a Heinisch c. Germania, n. 28274/08, §§ 88-90, CEDU 2011 (estratti), e a </w:t>
            </w:r>
            <w:proofErr w:type="spellStart"/>
            <w:r w:rsidRPr="00C969C1">
              <w:rPr>
                <w:i/>
                <w:iCs/>
              </w:rPr>
              <w:t>Gawlik</w:t>
            </w:r>
            <w:proofErr w:type="spellEnd"/>
            <w:r w:rsidRPr="00C969C1">
              <w:rPr>
                <w:i/>
                <w:iCs/>
              </w:rPr>
              <w:t xml:space="preserve"> c. Liechtenstein, n. 23922/19, § 79, 16 febbraio 2021). Il ricorrente ha sottolineato la trasformazione del criterio inizialmente fissato dalla Corte che, secondo lui, comprendeva la necessità di conservare la fiducia del pubblico nello Stato. A tale riguardo il ricorrente ha fatto riferimento alle conclusioni della Corte nelle cause </w:t>
            </w:r>
            <w:proofErr w:type="spellStart"/>
            <w:r w:rsidRPr="00C969C1">
              <w:rPr>
                <w:i/>
                <w:iCs/>
              </w:rPr>
              <w:t>Bucur</w:t>
            </w:r>
            <w:proofErr w:type="spellEnd"/>
            <w:r w:rsidRPr="00C969C1">
              <w:rPr>
                <w:i/>
                <w:iCs/>
              </w:rPr>
              <w:t xml:space="preserve"> e Toma c. Romania (n. 40238/02, §§ 114-15, 8 gennaio 2013), </w:t>
            </w:r>
            <w:proofErr w:type="spellStart"/>
            <w:r w:rsidRPr="00C969C1">
              <w:rPr>
                <w:i/>
                <w:iCs/>
              </w:rPr>
              <w:t>Medžlis</w:t>
            </w:r>
            <w:proofErr w:type="spellEnd"/>
            <w:r w:rsidRPr="00C969C1">
              <w:rPr>
                <w:i/>
                <w:iCs/>
              </w:rPr>
              <w:t xml:space="preserve"> </w:t>
            </w:r>
            <w:proofErr w:type="spellStart"/>
            <w:r w:rsidRPr="00C969C1">
              <w:rPr>
                <w:i/>
                <w:iCs/>
              </w:rPr>
              <w:t>Islamske</w:t>
            </w:r>
            <w:proofErr w:type="spellEnd"/>
            <w:r w:rsidRPr="00C969C1">
              <w:rPr>
                <w:i/>
                <w:iCs/>
              </w:rPr>
              <w:t xml:space="preserve"> </w:t>
            </w:r>
            <w:proofErr w:type="spellStart"/>
            <w:r w:rsidRPr="00C969C1">
              <w:rPr>
                <w:i/>
                <w:iCs/>
              </w:rPr>
              <w:t>Zajednice</w:t>
            </w:r>
            <w:proofErr w:type="spellEnd"/>
            <w:r w:rsidRPr="00C969C1">
              <w:rPr>
                <w:i/>
                <w:iCs/>
              </w:rPr>
              <w:t xml:space="preserve"> </w:t>
            </w:r>
            <w:proofErr w:type="spellStart"/>
            <w:r w:rsidRPr="00C969C1">
              <w:rPr>
                <w:i/>
                <w:iCs/>
              </w:rPr>
              <w:t>Brčko</w:t>
            </w:r>
            <w:proofErr w:type="spellEnd"/>
            <w:r w:rsidRPr="00C969C1">
              <w:rPr>
                <w:i/>
                <w:iCs/>
              </w:rPr>
              <w:t xml:space="preserve"> e altri c. Bosnia-Erzegovina ([GC], n. 17224/11, § 80, 27 giugno 2017) e </w:t>
            </w:r>
            <w:proofErr w:type="spellStart"/>
            <w:r w:rsidRPr="00C969C1">
              <w:rPr>
                <w:i/>
                <w:iCs/>
              </w:rPr>
              <w:t>Gawlik</w:t>
            </w:r>
            <w:proofErr w:type="spellEnd"/>
            <w:r w:rsidRPr="00C969C1">
              <w:rPr>
                <w:i/>
                <w:iCs/>
              </w:rPr>
              <w:t xml:space="preserve"> (sopra citata, § 79). Ha sottolineato le conseguenze dell’applicazione del criterio del “danno provocato al datore di lavoro” al caso in cui l’autore della segnalazione è impiegato nel settore privato. Nel caso di specie ciò aveva condotto al bilanciamento tra l’interesse pubblico a conoscere le rivelazioni impugnate e lo specifico interesse di una determinata società, il che, secondo il ricorrente, costituiva una deriva potenzialmente pericolosa.</w:t>
            </w:r>
            <w:r w:rsidRPr="00C969C1">
              <w:rPr>
                <w:i/>
                <w:iCs/>
              </w:rPr>
              <w:br/>
              <w:t xml:space="preserve">67. A giudizio del ricorrente, tale interpretazione dei “criteri </w:t>
            </w:r>
            <w:proofErr w:type="spellStart"/>
            <w:r w:rsidRPr="00C969C1">
              <w:rPr>
                <w:i/>
                <w:iCs/>
              </w:rPr>
              <w:t>Guja</w:t>
            </w:r>
            <w:proofErr w:type="spellEnd"/>
            <w:r w:rsidRPr="00C969C1">
              <w:rPr>
                <w:i/>
                <w:iCs/>
              </w:rPr>
              <w:t>” incoraggia l’idea che gli interessi ponderati siano di uguale importanza (qualunque sia la loro importanza relativa) e rischia di condurre a un conflitto di interessi che oppone da un lato la libertà di espressione del ricorrente e dall’altro la reputazione del datore di lavoro. Egli contesta tale mutamento che, secondo lui, equivale a passare da un esercizio di bilanciamento tra diversi interessi alla risoluzione di un conflitto tra i diritti tutelati dagli articoli 10 e 8 della Convenzione.</w:t>
            </w:r>
            <w:r w:rsidRPr="00C969C1">
              <w:rPr>
                <w:i/>
                <w:iCs/>
              </w:rPr>
              <w:br/>
              <w:t xml:space="preserve">68. In ordine, in secondo luogo, all’interesse pubblico presentato dalle informazioni divulgate, che pure deve essere preso in considerazione nell’esercizio di bilanciamento, il ricorrente ha sostenuto che la Corte di appello era caduta in contraddizione perché prima aveva riconosciuto l’esistenza di tale interesse e poi aveva affermato che i documenti rivelati non avevano fornito informazioni “essenziali, nuove e inedite”. Aggiungendo tali nuovi requisiti, che avevano l’effetto di restringere l’effettiva tutela della libertà di espressione, aveva ampliato il margine di discrezionalità delle autorità interne. Tali “precisazioni” apportate al concetto di “informazioni di pubblico interesse” erano ancora meno pertinenti dato che, secondo la giurisprudenza della Corte, l’esistenza di un </w:t>
            </w:r>
            <w:r w:rsidRPr="00C969C1">
              <w:rPr>
                <w:i/>
                <w:iCs/>
              </w:rPr>
              <w:lastRenderedPageBreak/>
              <w:t xml:space="preserve">dibattito pubblico su una certa questione deponeva a favore di ulteriori rivelazioni di informazioni che potessero contribuire a tale dibattito (ha fatto riferimento a </w:t>
            </w:r>
            <w:proofErr w:type="spellStart"/>
            <w:r w:rsidRPr="00C969C1">
              <w:rPr>
                <w:i/>
                <w:iCs/>
              </w:rPr>
              <w:t>Dammann</w:t>
            </w:r>
            <w:proofErr w:type="spellEnd"/>
            <w:r w:rsidRPr="00C969C1">
              <w:rPr>
                <w:i/>
                <w:iCs/>
              </w:rPr>
              <w:t xml:space="preserve"> c. Svizzera, n. 77551/01, § 54, 25 aprile 2006).</w:t>
            </w:r>
            <w:r w:rsidRPr="00C969C1">
              <w:rPr>
                <w:i/>
                <w:iCs/>
              </w:rPr>
              <w:br/>
              <w:t>69. Il ricorrente ha contestato inoltre la conclusione della Camera (§ 109 della sua sentenza) relativa alle caratteristiche di cui dovevano essere dotate le informazioni divulgate per giustificare il danno provocato alla società dalla loro divulgazione. Dato che il suo contributo al dibattito “</w:t>
            </w:r>
            <w:proofErr w:type="spellStart"/>
            <w:r w:rsidRPr="00C969C1">
              <w:rPr>
                <w:i/>
                <w:iCs/>
              </w:rPr>
              <w:t>Luxleaks</w:t>
            </w:r>
            <w:proofErr w:type="spellEnd"/>
            <w:r w:rsidRPr="00C969C1">
              <w:rPr>
                <w:i/>
                <w:iCs/>
              </w:rPr>
              <w:t>” non era stato ritenuto determinante nella valutazione del criterio del pubblico interesse, non era chiaro perché potesse essere ritenuto tale il suo coinvolgimento nel danno provocato alla reputazione del suo datore di lavoro.</w:t>
            </w:r>
            <w:r w:rsidRPr="00C969C1">
              <w:rPr>
                <w:i/>
                <w:iCs/>
              </w:rPr>
              <w:br/>
              <w:t xml:space="preserve">70. Il ricorrente è poi ritornato sulle caratteristiche specifiche del caso di specie che, a suo parere, sono legate al fatto che egli era impiegato nel settore privato. Analizzando la giurisprudenza della Corte, ha affermato che l’applicazione “parziale, inesatta e speciosa” della giurisprudenza </w:t>
            </w:r>
            <w:proofErr w:type="spellStart"/>
            <w:r w:rsidRPr="00C969C1">
              <w:rPr>
                <w:i/>
                <w:iCs/>
              </w:rPr>
              <w:t>Guja</w:t>
            </w:r>
            <w:proofErr w:type="spellEnd"/>
            <w:r w:rsidRPr="00C969C1">
              <w:rPr>
                <w:i/>
                <w:iCs/>
              </w:rPr>
              <w:t xml:space="preserve"> da parte della Corte di appello aveva dato luogo a una situazione in cui il bilanciamento tra il pubblico interesse a essere informati delle rivelazioni e la libertà di espressione dell’autore di segnalazioni di illeciti o irregolarità da un lato e la reputazione commerciale della società dall’altro era stato fatto pendere a favore della società. Ha osservato che ciò equivaleva a un completo ribaltamento dell’approccio adottato a partire dalla sentenza Steel e Morris c. Regno Unito (n. 68416/01, § 95, CEDU 2005 II).</w:t>
            </w:r>
            <w:r w:rsidRPr="00C969C1">
              <w:rPr>
                <w:i/>
                <w:iCs/>
              </w:rPr>
              <w:br/>
              <w:t xml:space="preserve">71. Ha sottolineato che dopo essere stato sanzionato una prima volta dal suo datore di lavoro, la PwC (che lo aveva licenziato), era stato sanzionato di nuovo dallo Stato, nello specifico dai tribunali penali (ha fatto riferimento a </w:t>
            </w:r>
            <w:proofErr w:type="spellStart"/>
            <w:r w:rsidRPr="00C969C1">
              <w:rPr>
                <w:i/>
                <w:iCs/>
              </w:rPr>
              <w:t>Kayasu</w:t>
            </w:r>
            <w:proofErr w:type="spellEnd"/>
            <w:r w:rsidRPr="00C969C1">
              <w:rPr>
                <w:i/>
                <w:iCs/>
              </w:rPr>
              <w:t xml:space="preserve"> c. Turchia, </w:t>
            </w:r>
            <w:proofErr w:type="spellStart"/>
            <w:r w:rsidRPr="00C969C1">
              <w:rPr>
                <w:i/>
                <w:iCs/>
              </w:rPr>
              <w:t>nn</w:t>
            </w:r>
            <w:proofErr w:type="spellEnd"/>
            <w:r w:rsidRPr="00C969C1">
              <w:rPr>
                <w:i/>
                <w:iCs/>
              </w:rPr>
              <w:t xml:space="preserve">. 64119/00 e 76292/01, 13 novembre 2008, e a </w:t>
            </w:r>
            <w:proofErr w:type="spellStart"/>
            <w:r w:rsidRPr="00C969C1">
              <w:rPr>
                <w:i/>
                <w:iCs/>
              </w:rPr>
              <w:t>Bucur</w:t>
            </w:r>
            <w:proofErr w:type="spellEnd"/>
            <w:r w:rsidRPr="00C969C1">
              <w:rPr>
                <w:i/>
                <w:iCs/>
              </w:rPr>
              <w:t xml:space="preserve"> e Toma, sopra citata). Ha ribadito il rischio di estendere l’applicazione del criterio del danno subito dal datore di lavoro ai casi di segnalazione di illeciti o di irregolarità nel contesto dei rapporti lavorativi del settore privato. Per tale motivo ha suggerito di riservare, per quanto riguarda gli autori di segnalazioni di illeciti o di irregolarità nel settore privato, il criterio del danno subito dal datore di lavoro soltanto ai casi in cui era stata inflitta una sanzione professionale la cui proporzionalità era stata oggetto di discussione.</w:t>
            </w:r>
            <w:r w:rsidRPr="00C969C1">
              <w:rPr>
                <w:i/>
                <w:iCs/>
              </w:rPr>
              <w:br/>
              <w:t>72. Nel caso di specie, ha sottolineato che, avendo ammesso che la condanna penale del ricorrente (seguita al suo licenziamento) poteva essere giustificata a causa del danno alla reputazione subito dal suo datore di lavoro, la sentenza della Camera era riuscita a vanificare la tutela degli autori di segnalazioni di illeciti o di irregolarità.</w:t>
            </w:r>
            <w:r w:rsidRPr="00C969C1">
              <w:rPr>
                <w:i/>
                <w:iCs/>
              </w:rPr>
              <w:br/>
              <w:t xml:space="preserve">73. Il ricorrente ha anche raccomandato di approfondire la giurisprudenza </w:t>
            </w:r>
            <w:proofErr w:type="spellStart"/>
            <w:r w:rsidRPr="00C969C1">
              <w:rPr>
                <w:i/>
                <w:iCs/>
              </w:rPr>
              <w:t>Guja</w:t>
            </w:r>
            <w:proofErr w:type="spellEnd"/>
            <w:r w:rsidRPr="00C969C1">
              <w:rPr>
                <w:i/>
                <w:iCs/>
              </w:rPr>
              <w:t xml:space="preserve"> abbandonando il criterio del danno provocato al datore di lavoro. Secondo lui, il principale rischio che attualmente minaccia gli autori di segnalazioni di illeciti o di irregolarità non è tanto di natura disciplinare (ammonizione o licenziamento) quanto di natura penale come dimostrato dai casi di Edward Snowden, Julian Assange o Chelsea Manning. Ha sostenuto che un simile sviluppo giurisprudenziale sarebbe coerente con la direttiva dell’Unione europea riguardante la protezione delle persone che segnalano violazioni del diritto dell’Unione (si veda il paragrafo 58 </w:t>
            </w:r>
            <w:proofErr w:type="spellStart"/>
            <w:r w:rsidRPr="00C969C1">
              <w:rPr>
                <w:i/>
                <w:iCs/>
              </w:rPr>
              <w:t>supra</w:t>
            </w:r>
            <w:proofErr w:type="spellEnd"/>
            <w:r w:rsidRPr="00C969C1">
              <w:rPr>
                <w:i/>
                <w:iCs/>
              </w:rPr>
              <w:t xml:space="preserve">, </w:t>
            </w:r>
            <w:proofErr w:type="gramStart"/>
            <w:r w:rsidRPr="00C969C1">
              <w:rPr>
                <w:i/>
                <w:iCs/>
              </w:rPr>
              <w:t>in prosieguo</w:t>
            </w:r>
            <w:proofErr w:type="gramEnd"/>
            <w:r w:rsidRPr="00C969C1">
              <w:rPr>
                <w:i/>
                <w:iCs/>
              </w:rPr>
              <w:t xml:space="preserve"> “la direttiva europea”) che non istituisce alcun legame tra la tutela degli informatori e il danno provocato al datore di lavoro. In proposito il ricorrente ha fatto notare che un gran numero di Stati membri del Consiglio d’Europa dovranno recepire la direttiva e i loro tribunali nazionali dovranno applicarla </w:t>
            </w:r>
            <w:r w:rsidRPr="00C969C1">
              <w:rPr>
                <w:i/>
                <w:iCs/>
              </w:rPr>
              <w:lastRenderedPageBreak/>
              <w:t>così che è auspicabile che si armonizzi il diritto applicabile in materia.</w:t>
            </w:r>
            <w:r w:rsidRPr="00C969C1">
              <w:rPr>
                <w:i/>
                <w:iCs/>
              </w:rPr>
              <w:br/>
              <w:t xml:space="preserve">74. Infine, il ricorrente ha sottolineato la necessità che la Corte vada oltre la giurisprudenza </w:t>
            </w:r>
            <w:proofErr w:type="spellStart"/>
            <w:r w:rsidRPr="00C969C1">
              <w:rPr>
                <w:i/>
                <w:iCs/>
              </w:rPr>
              <w:t>Guja</w:t>
            </w:r>
            <w:proofErr w:type="spellEnd"/>
            <w:r w:rsidRPr="00C969C1">
              <w:rPr>
                <w:i/>
                <w:iCs/>
              </w:rPr>
              <w:t>, elaborando una definizione di segnalazione di illeciti o di irregolarità e prevedendo uno status effettivo per gli autori di tali segnalazioni. In proposito, facendo riferimento all’articolo L.271-1 del codice del lavoro del </w:t>
            </w:r>
            <w:bookmarkStart w:id="45" w:name="hitd0p210"/>
            <w:r w:rsidRPr="00C969C1">
              <w:rPr>
                <w:i/>
                <w:iCs/>
              </w:rPr>
              <w:t>Lussemburgo</w:t>
            </w:r>
            <w:bookmarkEnd w:id="45"/>
            <w:r w:rsidRPr="00C969C1">
              <w:rPr>
                <w:i/>
                <w:iCs/>
              </w:rPr>
              <w:t> e all’articolo 38-12 della legge sul settore finanziario (legge del 5 maggio 1993), ha osservato che gli strumenti applicabili all’epoca dei fatti sancivano l’esistenza dello status di autore di segnalazioni di illeciti o di irregolarità senza definirlo o definire i criteri di applicazione del regime giuridico inerente al riconoscimento di tale status. Ha inoltre presentato rilievi a favore di un sistema di presunzione favorevole alle persone comprese nella categoria degli autori di segnalazioni di illeciti o di irregolarità, da lui descritte come le “sentinelle” della democrazia.</w:t>
            </w:r>
            <w:r w:rsidRPr="00C969C1">
              <w:rPr>
                <w:i/>
                <w:iCs/>
              </w:rPr>
              <w:br/>
              <w:t xml:space="preserve">75. Quanto alla definizione di autore di segnalazioni di illeciti o di irregolarità, il ricorrente ha fatto riferimento a quelle fornite dalla risoluzione 1729(2010) sulla protezione degli “informatori“ dell’Assemblea parlamentare del Consiglio d’Europa (si veda il paragrafo 55 </w:t>
            </w:r>
            <w:proofErr w:type="spellStart"/>
            <w:r w:rsidRPr="00C969C1">
              <w:rPr>
                <w:i/>
                <w:iCs/>
              </w:rPr>
              <w:t>supra</w:t>
            </w:r>
            <w:proofErr w:type="spellEnd"/>
            <w:r w:rsidRPr="00C969C1">
              <w:rPr>
                <w:i/>
                <w:iCs/>
              </w:rPr>
              <w:t xml:space="preserve">; in prosieguo “risoluzione 1729(2010)”), dalla raccomandazione del Comitato dei ministri del Consiglio d’Europa del 30 aprile 2014 (si veda il paragrafo 57 </w:t>
            </w:r>
            <w:proofErr w:type="spellStart"/>
            <w:r w:rsidRPr="00C969C1">
              <w:rPr>
                <w:i/>
                <w:iCs/>
              </w:rPr>
              <w:t>supra</w:t>
            </w:r>
            <w:proofErr w:type="spellEnd"/>
            <w:r w:rsidRPr="00C969C1">
              <w:rPr>
                <w:i/>
                <w:iCs/>
              </w:rPr>
              <w:t xml:space="preserve">; in prosieguo “raccomandazione (2014)7”), e dal rapporto A/70/361 dell’8 settembre 2015 sulla promozione e la tutela del diritto alla libertà di opinione e di espressione del relatore speciale dell’ONU (si veda il paragrafo 54 </w:t>
            </w:r>
            <w:proofErr w:type="spellStart"/>
            <w:r w:rsidRPr="00C969C1">
              <w:rPr>
                <w:i/>
                <w:iCs/>
              </w:rPr>
              <w:t>supra</w:t>
            </w:r>
            <w:proofErr w:type="spellEnd"/>
            <w:r w:rsidRPr="00C969C1">
              <w:rPr>
                <w:i/>
                <w:iCs/>
              </w:rPr>
              <w:t>; in prosieguo “il relatore speciale dell’ONU”), pur chiedendo alla Corte una definizione ai fini dell’articolo 10 della Convenzione che fosse meno teorica.</w:t>
            </w:r>
            <w:r w:rsidRPr="00C969C1">
              <w:rPr>
                <w:i/>
                <w:iCs/>
              </w:rPr>
              <w:br/>
              <w:t>76. Sulla base dell’analisi della giurisprudenza della Corte, il ricorrente ha proposto la seguente definizione di autore di segnalazioni di illeciti o di irregolarità: “una persona (…) che lamenta di essere stata sanzionata dal suo datore di lavoro e/o dallo Stato (…) per aver violato l’obbligo di lealtà, riserbo e discrezione connesso all’impiego, rivelando informazioni documentate, ottenute nell’ambito del suo lavoro, che egli si sente eticamente obbligato a condividere con persone esterne al lavoro, (…) e che rivelano l’esistenza di atti moralmente o penalmente illeciti suscettibili di ledere l’interesse pubblico”. Il ricorrente ha sottolineato che ciò che è materialmente protetto attraverso la tutela formale della persona che porta le informazioni all’attenzione pubblica è l’interesse pubblico connesso alla conoscenza di un certo tipo di informazioni.</w:t>
            </w:r>
            <w:r w:rsidRPr="00C969C1">
              <w:rPr>
                <w:i/>
                <w:iCs/>
              </w:rPr>
              <w:br/>
              <w:t xml:space="preserve">77. Per quanto riguarda la natura del controllo da esercitare in materia, il ricorrente ha sottolineato che non vi è ragione che il principio di sussidiarietà, benché espressamente sancito dal Protocollo n. 15, impedisca alla Corte di svolgere un riesame di tipo procedurale e sostanziale dei motivi e dei criteri adottati dai tribunali interni nell’applicare la Convenzione. In proposito ha sostenuto che la Corte di appello non aveva rispettato la maniera in cui la tutela degli autori di segnalazioni di illeciti o di irregolarità, in qualità di </w:t>
            </w:r>
            <w:proofErr w:type="spellStart"/>
            <w:r w:rsidRPr="00C969C1">
              <w:rPr>
                <w:i/>
                <w:iCs/>
              </w:rPr>
              <w:t>lex</w:t>
            </w:r>
            <w:proofErr w:type="spellEnd"/>
            <w:r w:rsidRPr="00C969C1">
              <w:rPr>
                <w:i/>
                <w:iCs/>
              </w:rPr>
              <w:t xml:space="preserve"> </w:t>
            </w:r>
            <w:proofErr w:type="spellStart"/>
            <w:r w:rsidRPr="00C969C1">
              <w:rPr>
                <w:i/>
                <w:iCs/>
              </w:rPr>
              <w:t>specialis</w:t>
            </w:r>
            <w:proofErr w:type="spellEnd"/>
            <w:r w:rsidRPr="00C969C1">
              <w:rPr>
                <w:i/>
                <w:iCs/>
              </w:rPr>
              <w:t xml:space="preserve">, doveva interagire con la </w:t>
            </w:r>
            <w:proofErr w:type="spellStart"/>
            <w:r w:rsidRPr="00C969C1">
              <w:rPr>
                <w:i/>
                <w:iCs/>
              </w:rPr>
              <w:t>lex</w:t>
            </w:r>
            <w:proofErr w:type="spellEnd"/>
            <w:r w:rsidRPr="00C969C1">
              <w:rPr>
                <w:i/>
                <w:iCs/>
              </w:rPr>
              <w:t xml:space="preserve"> </w:t>
            </w:r>
            <w:proofErr w:type="spellStart"/>
            <w:r w:rsidRPr="00C969C1">
              <w:rPr>
                <w:i/>
                <w:iCs/>
              </w:rPr>
              <w:t>generalis</w:t>
            </w:r>
            <w:proofErr w:type="spellEnd"/>
            <w:r w:rsidRPr="00C969C1">
              <w:rPr>
                <w:i/>
                <w:iCs/>
              </w:rPr>
              <w:t xml:space="preserve"> costituita dall’articolo 10 e ha osservato </w:t>
            </w:r>
            <w:proofErr w:type="gramStart"/>
            <w:r w:rsidRPr="00C969C1">
              <w:rPr>
                <w:i/>
                <w:iCs/>
              </w:rPr>
              <w:t>che</w:t>
            </w:r>
            <w:proofErr w:type="gramEnd"/>
            <w:r w:rsidRPr="00C969C1">
              <w:rPr>
                <w:i/>
                <w:iCs/>
              </w:rPr>
              <w:t xml:space="preserve"> se i tribunali interni non svolgevano il ruolo che competeva loro ai sensi del sistema della Convenzione, allora la Corte doveva essa stessa ponderare gli interessi in gioco per ristabilire la giustizia e il diritto.</w:t>
            </w:r>
            <w:r w:rsidRPr="00C969C1">
              <w:rPr>
                <w:i/>
                <w:iCs/>
              </w:rPr>
              <w:br/>
              <w:t xml:space="preserve">78. In ordine all’esercizio di bilanciamento svolto dai tribunali interni nel caso di specie, il ricorrente ha sottolineato che non era sufficiente che essi facessero formalmente riferimento ai criteri individuati dalla Corte; era altresì necessario applicarli correttamente. Citando le cause </w:t>
            </w:r>
            <w:proofErr w:type="spellStart"/>
            <w:r w:rsidRPr="00C969C1">
              <w:rPr>
                <w:i/>
                <w:iCs/>
              </w:rPr>
              <w:t>Perinçek</w:t>
            </w:r>
            <w:proofErr w:type="spellEnd"/>
            <w:r w:rsidRPr="00C969C1">
              <w:rPr>
                <w:i/>
                <w:iCs/>
              </w:rPr>
              <w:t xml:space="preserve"> c. </w:t>
            </w:r>
            <w:r w:rsidRPr="00C969C1">
              <w:rPr>
                <w:i/>
                <w:iCs/>
              </w:rPr>
              <w:lastRenderedPageBreak/>
              <w:t xml:space="preserve">Svizzera ([GC], n. 27510/08, CEDU 2015 (estratti)) e </w:t>
            </w:r>
            <w:proofErr w:type="spellStart"/>
            <w:r w:rsidRPr="00C969C1">
              <w:rPr>
                <w:i/>
                <w:iCs/>
              </w:rPr>
              <w:t>Aksu</w:t>
            </w:r>
            <w:proofErr w:type="spellEnd"/>
            <w:r w:rsidRPr="00C969C1">
              <w:rPr>
                <w:i/>
                <w:iCs/>
              </w:rPr>
              <w:t xml:space="preserve"> c. Turchia ([GC], </w:t>
            </w:r>
            <w:proofErr w:type="spellStart"/>
            <w:r w:rsidRPr="00C969C1">
              <w:rPr>
                <w:i/>
                <w:iCs/>
              </w:rPr>
              <w:t>nn</w:t>
            </w:r>
            <w:proofErr w:type="spellEnd"/>
            <w:r w:rsidRPr="00C969C1">
              <w:rPr>
                <w:i/>
                <w:iCs/>
              </w:rPr>
              <w:t>. 4149/04 e 41029/04, CEDU 2012), il ricorrente ha sottolineato che “[qualora] il bilanciamento effettuato dalle autorità giudiziarie nazionali sia insoddisfacente, in particolare perché l’importanza o la portata di uno dei diritti fondamentali in gioco non è stata debitamente considerata, il margine di discrezionalità accordato alle decisioni dei tribunali nazionali è ristretto”.</w:t>
            </w:r>
            <w:r w:rsidRPr="00C969C1">
              <w:rPr>
                <w:i/>
                <w:iCs/>
              </w:rPr>
              <w:br/>
              <w:t xml:space="preserve">79. Secondo il ricorrente nel caso di specie le autorità nazionali non hanno osservato nessuno dei requisiti della giurisprudenza derivante dalla causa Von Hannover c. Germania (n. 2) ([GC], </w:t>
            </w:r>
            <w:proofErr w:type="spellStart"/>
            <w:r w:rsidRPr="00C969C1">
              <w:rPr>
                <w:i/>
                <w:iCs/>
              </w:rPr>
              <w:t>nn</w:t>
            </w:r>
            <w:proofErr w:type="spellEnd"/>
            <w:r w:rsidRPr="00C969C1">
              <w:rPr>
                <w:i/>
                <w:iCs/>
              </w:rPr>
              <w:t>. 40660/08 e 60641/08, CEDU 2012), o dalla causa Axel Springer AG c. Germania (n. 2) (n. 48311/10, 10 luglio 2014), in particolare in ordine alla valutazione dell’effetto dissuasivo della sanzione contestata. Questa circostanza dovrebbe indurre la Corte, conformemente al principio di sussidiarietà, a sostituire la propria valutazione a quella dei tribunali nazionali.</w:t>
            </w:r>
            <w:r w:rsidRPr="00C969C1">
              <w:rPr>
                <w:i/>
                <w:iCs/>
              </w:rPr>
              <w:br/>
              <w:t>80. Il ricorrente ha concluso sostenendo che, date le circostanze del caso di specie, l’accoglimento delle conclusioni della Corte di appello comprometterebbe gravemente l’effettività della protezione garantita agli autori di segnalazioni di illeciti o di irregolarità ai sensi dell’articolo 10 della Convenzione.</w:t>
            </w:r>
            <w:r w:rsidRPr="00C969C1">
              <w:rPr>
                <w:i/>
                <w:iCs/>
              </w:rPr>
              <w:br/>
            </w:r>
            <w:proofErr w:type="gramStart"/>
            <w:r w:rsidRPr="00C969C1">
              <w:rPr>
                <w:i/>
                <w:iCs/>
              </w:rPr>
              <w:t>2.Le</w:t>
            </w:r>
            <w:proofErr w:type="gramEnd"/>
            <w:r w:rsidRPr="00C969C1">
              <w:rPr>
                <w:i/>
                <w:iCs/>
              </w:rPr>
              <w:t xml:space="preserve"> osservazioni del Governo</w:t>
            </w:r>
            <w:r w:rsidRPr="00C969C1">
              <w:rPr>
                <w:i/>
                <w:iCs/>
              </w:rPr>
              <w:br/>
              <w:t>81. Secondo il Governo la posizione del ricorrente esprime l’auspicio che la Corte modifichi la sua giurisprudenza sugli autori di segnalazioni di illeciti o di irregolarità per far sì che le persone che rivendicano la protezione connessa al relativo status non debbano più dimostrare che l’interesse pubblico presentato dalle informazioni da loro rivelate supera il danno subito dal datore di lavoro a seguito di tali rivelazioni. Il Governo non accetta le pretese del ricorrente in tal senso e sottoscrive la sentenza pronunciata dalla Camera nel caso di specie (in particolare i paragrafi 95-99 e 109-111).</w:t>
            </w:r>
            <w:r w:rsidRPr="00C969C1">
              <w:rPr>
                <w:i/>
                <w:iCs/>
              </w:rPr>
              <w:br/>
              <w:t>82. Invocando il margine nazionale di discrezionalità, il Governo ha osservato che i tribunali interni avevano rispettato scrupolosamente i requisiti individuati dalla giurisprudenza della Corte in relazione alla protezione degli autori di segnalazioni di illeciti o di irregolarità.</w:t>
            </w:r>
            <w:r w:rsidRPr="00C969C1">
              <w:rPr>
                <w:i/>
                <w:iCs/>
              </w:rPr>
              <w:br/>
              <w:t xml:space="preserve">83. Citando la causa </w:t>
            </w:r>
            <w:proofErr w:type="spellStart"/>
            <w:r w:rsidRPr="00C969C1">
              <w:rPr>
                <w:i/>
                <w:iCs/>
              </w:rPr>
              <w:t>Jersild</w:t>
            </w:r>
            <w:proofErr w:type="spellEnd"/>
            <w:r w:rsidRPr="00C969C1">
              <w:rPr>
                <w:i/>
                <w:iCs/>
              </w:rPr>
              <w:t xml:space="preserve"> c. Danimarca (23 settembre 1994, § 31, serie A n. 298), il Governo ha osservato che la Corte aveva circoscritto la portata del suo esame della necessità in una società democratica di un’ingerenza ai sensi dell’articolo 10 della Convenzione. Rilevando inoltre che il caso di specie concerneva un conflitto tra il diritto del ricorrente di comunicare informazioni e il diritto del suo datore di lavoro alla protezione della sua reputazione, il Governo ha fatto riferimento alla sentenza Von Hannover (n. 2) (sopra citata, § 106). In ordine agli specifici requisiti individuati ai sensi dell’articolo 10 della Convenzione quando la persona che asserisce il diritto di rivelare informazioni ha rivendicato lo status di autore di segnalazioni di illeciti o di irregolarità (con riferimento a </w:t>
            </w:r>
            <w:proofErr w:type="spellStart"/>
            <w:r w:rsidRPr="00C969C1">
              <w:rPr>
                <w:i/>
                <w:iCs/>
              </w:rPr>
              <w:t>Guja</w:t>
            </w:r>
            <w:proofErr w:type="spellEnd"/>
            <w:r w:rsidRPr="00C969C1">
              <w:rPr>
                <w:i/>
                <w:iCs/>
              </w:rPr>
              <w:t xml:space="preserve">, sopra citata 73-76), secondo il Governo nel caso di specie i tribunali interni avevano applicato correttamente i “criteri </w:t>
            </w:r>
            <w:proofErr w:type="spellStart"/>
            <w:r w:rsidRPr="00C969C1">
              <w:rPr>
                <w:i/>
                <w:iCs/>
              </w:rPr>
              <w:t>Guja</w:t>
            </w:r>
            <w:proofErr w:type="spellEnd"/>
            <w:r w:rsidRPr="00C969C1">
              <w:rPr>
                <w:i/>
                <w:iCs/>
              </w:rPr>
              <w:t>”, in particolare il quinto criterio relativo all’esercizio di bilanciamento che occorre svolgere tra l’interesse pubblico alla divulgazione delle informazioni e il danno provocato al datore di lavoro.</w:t>
            </w:r>
            <w:r w:rsidRPr="00C969C1">
              <w:rPr>
                <w:i/>
                <w:iCs/>
              </w:rPr>
              <w:br/>
              <w:t xml:space="preserve">84. Il Governo ha sostenuto inoltre che il corpus giurisprudenziale elaborato dalla Corte era sufficientemente chiaro, sia in termini di fissazione di principi che di definizione dei criteri per la valutazione della loro applicazione, da fornire alle autorità nazionali le indicazioni necessarie per la corretta applicazione dei pertinenti standard di tutela e per un’accurata valutazione del rispettivo </w:t>
            </w:r>
            <w:r w:rsidRPr="00C969C1">
              <w:rPr>
                <w:i/>
                <w:iCs/>
              </w:rPr>
              <w:lastRenderedPageBreak/>
              <w:t xml:space="preserve">peso dei diritti e degli interessi in gioco in una determinata causa. Ha affermato che i “criteri </w:t>
            </w:r>
            <w:proofErr w:type="spellStart"/>
            <w:r w:rsidRPr="00C969C1">
              <w:rPr>
                <w:i/>
                <w:iCs/>
              </w:rPr>
              <w:t>Guja</w:t>
            </w:r>
            <w:proofErr w:type="spellEnd"/>
            <w:r w:rsidRPr="00C969C1">
              <w:rPr>
                <w:i/>
                <w:iCs/>
              </w:rPr>
              <w:t xml:space="preserve">” che, oltretutto erano stati confermati in cause recentemente esaminate dalla Corte, fornivano alle autorità interne un quadro adeguato che consentiva loro di garantire la tutela della libertà di espressione degli autori di segnalazioni di illeciti o di irregolarità (ha fatto riferimento, per esempio, a Norman c. Regno Unito, n. 41387/17, §§ 83 et </w:t>
            </w:r>
            <w:proofErr w:type="spellStart"/>
            <w:r w:rsidRPr="00C969C1">
              <w:rPr>
                <w:i/>
                <w:iCs/>
              </w:rPr>
              <w:t>seq</w:t>
            </w:r>
            <w:proofErr w:type="spellEnd"/>
            <w:r w:rsidRPr="00C969C1">
              <w:rPr>
                <w:i/>
                <w:iCs/>
              </w:rPr>
              <w:t>., 6 luglio 2021).</w:t>
            </w:r>
            <w:r w:rsidRPr="00C969C1">
              <w:rPr>
                <w:i/>
                <w:iCs/>
              </w:rPr>
              <w:br/>
              <w:t xml:space="preserve">85. Il Governo ha inoltre sostenuto che dinanzi alla Grande Camera era in discussione soltanto il quinto “criterio </w:t>
            </w:r>
            <w:proofErr w:type="spellStart"/>
            <w:r w:rsidRPr="00C969C1">
              <w:rPr>
                <w:i/>
                <w:iCs/>
              </w:rPr>
              <w:t>Guja</w:t>
            </w:r>
            <w:proofErr w:type="spellEnd"/>
            <w:r w:rsidRPr="00C969C1">
              <w:rPr>
                <w:i/>
                <w:iCs/>
              </w:rPr>
              <w:t xml:space="preserve">” relativo al bilanciamento dell’interesse pubblico alle informazioni divulgate rispetto al danno che ne deriva al datore di lavoro, e ha specificato che le proprie osservazioni riguardavano soltanto le modalità di applicazione di tale criterio. Ha affermato che, concludendo che le rivelazioni in questione presentavano un limitato interesse pubblico e che non sussistevano motivi impellenti che imponessero al ricorrente, dopo le rivelazioni di A.D., si commettere un’ulteriore violazione della legge sottraendo e divulgando documenti riservati (§ 33 della sentenza della Camera), i tribunali interni avevano svolto un esercizio di bilanciamento conforme ai criteri di verifica individuati nella sentenza </w:t>
            </w:r>
            <w:proofErr w:type="spellStart"/>
            <w:r w:rsidRPr="00C969C1">
              <w:rPr>
                <w:i/>
                <w:iCs/>
              </w:rPr>
              <w:t>Guja</w:t>
            </w:r>
            <w:proofErr w:type="spellEnd"/>
            <w:r w:rsidRPr="00C969C1">
              <w:rPr>
                <w:i/>
                <w:iCs/>
              </w:rPr>
              <w:t>. A tal fine, essi avevano ritenuto che, sebbene le informazioni rivelate dal ricorrente presentassero un certo interesse pubblico, esso, cionondimeno, fosse molto modesto, perché le informazioni:</w:t>
            </w:r>
            <w:r w:rsidRPr="00C969C1">
              <w:rPr>
                <w:i/>
                <w:iCs/>
              </w:rPr>
              <w:br/>
              <w:t>– si limitavano a 16 documenti, 14 dichiarazioni dei redditi e due lettere di accompagnamento, rispetto alle 45.000 pagine di documenti riservati (tra cui 20.000 pagine di documenti fiscali corrispondenti in particolare a 538 fascicoli ATA) precedentemente divulgate da A.D.;</w:t>
            </w:r>
            <w:r w:rsidRPr="00C969C1">
              <w:rPr>
                <w:i/>
                <w:iCs/>
              </w:rPr>
              <w:br/>
              <w:t>– non contenevano rivelazioni rispetto alla tecnica di ottimizzazione fiscale;</w:t>
            </w:r>
            <w:r w:rsidRPr="00C969C1">
              <w:rPr>
                <w:i/>
                <w:iCs/>
              </w:rPr>
              <w:br/>
              <w:t>– non erano state selezionate dal ricorrente per integrare gli ATA già in possesso del giornalista E.P. a seguito delle precedenti rivelazioni effettuate da A.D., ma soltanto in base alla notorietà dei contribuenti in questione;</w:t>
            </w:r>
            <w:r w:rsidRPr="00C969C1">
              <w:rPr>
                <w:i/>
                <w:iCs/>
              </w:rPr>
              <w:br/>
              <w:t>– erano state utilizzate in un programma televisivo sull’evasione fiscale per dimostrare che il gruppo di società multinazionali A., domiciliato nel </w:t>
            </w:r>
            <w:bookmarkStart w:id="46" w:name="hitd0p214"/>
            <w:r w:rsidRPr="00C969C1">
              <w:rPr>
                <w:i/>
                <w:iCs/>
              </w:rPr>
              <w:t>Lussemburgo</w:t>
            </w:r>
            <w:bookmarkEnd w:id="46"/>
            <w:r w:rsidRPr="00C969C1">
              <w:rPr>
                <w:i/>
                <w:iCs/>
              </w:rPr>
              <w:t>, aveva dichiarato un fatturato nella maggior parte non generato da attività commerciali in tale paese e che un gruppo di società, A.M., aveva utilizzato prestiti inter-gruppo per ottenere delle detrazioni fiscali (§ 34 della sentenza della Camera); e</w:t>
            </w:r>
            <w:r w:rsidRPr="00C969C1">
              <w:rPr>
                <w:i/>
                <w:iCs/>
              </w:rPr>
              <w:br/>
              <w:t>– non erano fondamentalmente nuove (al contrario delle rivelazioni di A.D. sulla pratica degli ATA), poiché si limitavano a illustrare pratiche abituali in materia di strutturazione del patrimonio delle società multinazionali che, in linea di massima, erano note da molto tempo.</w:t>
            </w:r>
            <w:r w:rsidRPr="00C969C1">
              <w:rPr>
                <w:i/>
                <w:iCs/>
              </w:rPr>
              <w:br/>
              <w:t>86. Il Governo ha sottolineato inoltre che le rivelazioni effettuate violando il segreto professionale cui il ricorrente, in quanto dipendente di una società di revisione - proprio come i dipendenti di un medico o di un avvocato - era tenuto, avevano colpito tre categorie di diritti e di interessi:</w:t>
            </w:r>
            <w:r w:rsidRPr="00C969C1">
              <w:rPr>
                <w:i/>
                <w:iCs/>
              </w:rPr>
              <w:br/>
              <w:t>– quelli del datore di lavoro;</w:t>
            </w:r>
            <w:r w:rsidRPr="00C969C1">
              <w:rPr>
                <w:i/>
                <w:iCs/>
              </w:rPr>
              <w:br/>
              <w:t>– quelli delle persone che avevano affidato a tale datore di lavoro i dati divulgati;</w:t>
            </w:r>
            <w:r w:rsidRPr="00C969C1">
              <w:rPr>
                <w:i/>
                <w:iCs/>
              </w:rPr>
              <w:br/>
              <w:t>– il pubblico interesse garantito dalla segretezza professionale finalizzata alla tutela dei dati personali.</w:t>
            </w:r>
            <w:r w:rsidRPr="00C969C1">
              <w:rPr>
                <w:i/>
                <w:iCs/>
              </w:rPr>
              <w:br/>
              <w:t>Il fatto che il datore di lavoro del ricorrente avesse quantificato il danno subito in un euro simbolico soltanto, una richiesta comune nel </w:t>
            </w:r>
            <w:bookmarkStart w:id="47" w:name="hitd0p218"/>
            <w:r w:rsidRPr="00C969C1">
              <w:rPr>
                <w:i/>
                <w:iCs/>
              </w:rPr>
              <w:t>Lussemburgo</w:t>
            </w:r>
            <w:bookmarkEnd w:id="47"/>
            <w:r w:rsidRPr="00C969C1">
              <w:rPr>
                <w:i/>
                <w:iCs/>
              </w:rPr>
              <w:t xml:space="preserve">, non modificava tali considerazioni. Secondo il Governo era incontestabile che la vittima di una violazione di un diritto garantito dalla Convenzione </w:t>
            </w:r>
            <w:r w:rsidRPr="00C969C1">
              <w:rPr>
                <w:i/>
                <w:iCs/>
              </w:rPr>
              <w:lastRenderedPageBreak/>
              <w:t>potesse preferire il riconoscimento di tale violazione al risarcimento pecuniario del danno che, oltretutto, nel caso di specie era difficile da quantificare.</w:t>
            </w:r>
            <w:r w:rsidRPr="00C969C1">
              <w:rPr>
                <w:i/>
                <w:iCs/>
              </w:rPr>
              <w:br/>
              <w:t xml:space="preserve">87. Alla luce di tutte tali considerazioni, il Governo ha concluso che la Corte di appello non aveva ecceduto il margine di discrezionalità accordato alle autorità nazionali quando aveva ritenuto che il danno subito dal datore di lavoro, valutato alla luce dello specifico contesto del cosiddetto scandalo </w:t>
            </w:r>
            <w:proofErr w:type="spellStart"/>
            <w:r w:rsidRPr="00C969C1">
              <w:rPr>
                <w:i/>
                <w:iCs/>
              </w:rPr>
              <w:t>Luxleaks</w:t>
            </w:r>
            <w:proofErr w:type="spellEnd"/>
            <w:r w:rsidRPr="00C969C1">
              <w:rPr>
                <w:i/>
                <w:iCs/>
              </w:rPr>
              <w:t>, prevalesse sull’interesse pubblico alla divulgazione delle dichiarazioni dei redditi in questione. Ha concluso che la condanna del ricorrente e l’irrogazione di una sanzione pecuniaria penale per la violazione del segreto professionale non potevano costituire violazione dell’articolo 10 della Convenzione.</w:t>
            </w:r>
            <w:r w:rsidRPr="00C969C1">
              <w:rPr>
                <w:i/>
                <w:iCs/>
              </w:rPr>
              <w:br/>
              <w:t>88. Venendo più specificamente all’asserito interesse pubblico alla divulgazione delle informazioni in questione, il Governo ha sostenuto che i tribunali interni non lo avevano interpretato in maniera restrittiva e ha contestato l’analisi del ricorrente secondo la quale i tribunali interni avrebbero creato un nuovo criterio esigendo la rivelazione di “informazioni nuove”. Discostandosi su tale punto dagli autori dell’opinione dissenziente comune allegata alla sentenza della Camera, il Governo ha sostenuto che la comunicazione di “informazioni essenziali, nuove e inedite” non costituiva una condizione per accertare l’esistenza di un interesse pubblico alla loro divulgazione, ma piuttosto un elemento tra gli altri per valutare l’esistenza di suddetto interesse nel caso specifico. Ha sottoscritto le conclusioni formulate su tale punto dalla sentenza della Camera (§§ 31, 109-110).</w:t>
            </w:r>
            <w:r w:rsidRPr="00C969C1">
              <w:rPr>
                <w:i/>
                <w:iCs/>
              </w:rPr>
              <w:br/>
              <w:t xml:space="preserve">89. Secondo il Governo l’interesse pubblico alla divulgazione non poteva prevalere sistematicamente sul danno cagionato ai diritti e agli interessi altrui, pena la vanificazione del segreto professionale e del diritto alla protezione della reputazione. A suo giudizio, il magro contributo al dibattito pubblico offerto dalle rivelazioni impugnate nel caso di specie non poteva giustificare il grave danno provocato alla reputazione del datore di lavoro del ricorrente, causato oltretutto violando la segretezza professionale imposta dalla legge per proteggere i diritti altrui. Il Governo ha sostenuto che il concetto di “pubblico interesse delle informazioni divulgate”, un prerequisito per godere di una tutela supplementare, presuppone che rivelazioni effettuate violando il segreto imposto dalla legge siano giustificate dal valore intrinseco delle informazioni rivelate e dal loro contributo al dibattito pubblico. Ha osservato che le informazioni divulgate nel caso di specie non potevano essere considerate un’illustrazione delle questioni sollevate dallo scandalo </w:t>
            </w:r>
            <w:proofErr w:type="spellStart"/>
            <w:r w:rsidRPr="00C969C1">
              <w:rPr>
                <w:i/>
                <w:iCs/>
              </w:rPr>
              <w:t>Luxleaks</w:t>
            </w:r>
            <w:proofErr w:type="spellEnd"/>
            <w:r w:rsidRPr="00C969C1">
              <w:rPr>
                <w:i/>
                <w:iCs/>
              </w:rPr>
              <w:t>, in quanto le dichiarazioni dei redditi rivelate dal ricorrente non erano direttamente collegate alla pratica degli ATA contestata da A.D. e E.P., i quali erano stati assolti.</w:t>
            </w:r>
            <w:r w:rsidRPr="00C969C1">
              <w:rPr>
                <w:i/>
                <w:iCs/>
              </w:rPr>
              <w:br/>
              <w:t xml:space="preserve">90. Più in generale, il Governo ha contestato le pretese del ricorrente miranti a far sì che la protezione accordata al primo autore della segnalazione fosse successivamente estesa a chiunque effettuasse ulteriori rivelazioni nello stesso contesto generale. Ha contestato l’idea che qualsiasi “illustrazione” degli elementi di un dibattito di interesse generale dovesse godere della protezione accordata agli autori di segnalazioni di illeciti o di irregolarità. Secondo il Governo l’attenzione posta dalla Corte nel definire i numerosi criteri cumulativi che occorre soddisfare affinché una persona possa essere considerata un autore di segnalazioni di illeciti o di irregolarità illustra la natura eccezionale di questa protezione supplementare. L’evoluzione auspicata dal ricorrente sarebbe in contrasto con i limiti che, secondo il Governo, devono essere posti al diritto di </w:t>
            </w:r>
            <w:r w:rsidRPr="00C969C1">
              <w:rPr>
                <w:i/>
                <w:iCs/>
              </w:rPr>
              <w:lastRenderedPageBreak/>
              <w:t>comunicare informazioni, specialmente in ambiti che possono risultare sensibili per gli Stati e che di frequente sono al centro di dibattiti pubblici perfettamente legittimi, come nel caso della politica fiscale del Granducato di </w:t>
            </w:r>
            <w:bookmarkStart w:id="48" w:name="hitd0p222"/>
            <w:r w:rsidRPr="00C969C1">
              <w:rPr>
                <w:i/>
                <w:iCs/>
              </w:rPr>
              <w:t>Lussemburgo</w:t>
            </w:r>
            <w:bookmarkEnd w:id="48"/>
            <w:r w:rsidRPr="00C969C1">
              <w:rPr>
                <w:i/>
                <w:iCs/>
              </w:rPr>
              <w:t>. Inoltre, indebolirebbe la portata degli obblighi giuridici di segretezza e riservatezza imposti al fine di tutelare i diritti altrui, come nel caso in particolare dei revisori contabili. Inciderebbe anche sui rapporti contrattuali tra le società che operano in tale settore e i loro clienti, giacché nessuna parte contraente sarebbe mai al sicuro da rivelazioni non soltanto su questioni che si possono ragionevolmente ritenere di natura tale da richiedere di essere portate all’attenzione pubblica in quanto illecite o dannose per l’interesse pubblico, ma potenzialmente anche su qualsiasi questione riservata relativa agli affari o al patrimonio personale dei clienti o dell’amministratore della società, del datore di lavoro o del cliente.</w:t>
            </w:r>
            <w:r w:rsidRPr="00C969C1">
              <w:rPr>
                <w:i/>
                <w:iCs/>
              </w:rPr>
              <w:br/>
              <w:t>91. Al riguardo il Governo ha sottolineato che l’obbligo di riservatezza cui era tenuto il ricorrente non derivava soltanto dalle clausole contrattuali che lo legavano al suo datore di lavoro, bensì scaturiva dall’obbligo imposto dalla legge ai revisori contabili. Ha osservato che il ricorrente si trovava, pertanto, in una posizione paragonabile a quella di un medico o di un avvocato che fossero in possesso di informazioni su un paziente o su un assistito e decidessero di rivelarle violando l’obbligo del segreto professionale. L’obbligo del segreto professionale imposto ai revisori era destinato a proteggere i dati dei loro clienti, ovvero i diritti altrui. Come aveva ritenuto la Corte, “la natura e la portata dell’obbligo di lealtà del dipendente in una determinata causa incide sulla ponderazione dei diritti del dipendente e dei confliggenti interessi del datore di lavoro” (facendo riferimento alla causa Heinisch, sopra citata, § 64). Secondo il Governo si trattava in effetti di un conflitto di diritti ed esso ritiene inconcepibile, alla luce della consolidata giurisprudenza della Corte e in particolare della sentenza Von Hannover (n. 2) (sopra citata), che la tutela dei diritti del ricorrente debba essere considerata a priori più legittima della protezione dei diritti del datore di lavoro.</w:t>
            </w:r>
            <w:r w:rsidRPr="00C969C1">
              <w:rPr>
                <w:i/>
                <w:iCs/>
              </w:rPr>
              <w:br/>
              <w:t>92. Pur ammettendo che l’obbligo di riservatezza imposto ai dipendenti pubblici potesse essere fatto valere con maggiore forza di quello previsto, anche dalla legge, per i rapporti lavorativi del settore privato, il Governo ha osservato che analogamente l’interesse pubblico presentato dalle informazioni rivelate da un dipendente pubblico era a priori maggiore di quello presentato dalla rivelazione di informazioni di carattere privato. Il Governo ha contestato l’idea del ricorrente che la divulgazione di informazioni ottenute nel contesto di rapporti lavorativi privati dovesse comportare un rispetto meno rigoroso dei criteri stabiliti dalla giurisprudenza della Corte.</w:t>
            </w:r>
            <w:r w:rsidRPr="00C969C1">
              <w:rPr>
                <w:i/>
                <w:iCs/>
              </w:rPr>
              <w:br/>
              <w:t>93. Il Governo ha sottolineato, inoltre, che, in virtù del principio di sussidiarietà, non spettava alla Corte sostituire la propria valutazione a quella dei tribunali interni, a meno che non sussistessero importanti motivi per farlo. Al riguardo esso ha osservato che i tribunali interni avevano adottato le loro decisioni dopo aver esaminato atti processuali spesso voluminosi, a seguito di procedimenti in contraddittorio spesso di ampio raggio e di indagini approfondite. A livello nazionale i fatti in questione potevano così essere esaminati da quattro organi giudiziari, che dovevano valutare tutti gli elementi della causa e ponderare i diritti e gli interessi in gioco alla luce della giurisprudenza della Corte. Il Governo ha osservato che i limiti che la Corte imponeva a sé stessa ai sensi del principio di sussidiarietà erano rispettati anche nell'ordinamento interno, per motivi analoghi, dalla Corte di cassazione (si veda il § 40 della sentenza della Camera).</w:t>
            </w:r>
            <w:r w:rsidRPr="00C969C1">
              <w:rPr>
                <w:i/>
                <w:iCs/>
              </w:rPr>
              <w:br/>
            </w:r>
            <w:r w:rsidRPr="00C969C1">
              <w:rPr>
                <w:i/>
                <w:iCs/>
              </w:rPr>
              <w:lastRenderedPageBreak/>
              <w:t>94. Mettere in discussione tale autolimitazione poteva dare luogo a errori di valutazione ed esporre la Corte al rischio di pronunciarsi sulla base di prove insufficienti, pervenendo così a conclusioni incompatibili con le prove agli atti. Il Governo ha sottolineato che, per evitare un simile rischio, la Corte doveva limitarsi a valutare la compatibilità con la propria giurisprudenza delle motivazioni delle decisioni dei tribunali interni, astenendosi dall’esaminarle nel merito, purché esse fossero adeguate e non contraddittorie. Nel caso di specie, secondo il Governo, i tribunali interni avevano individuato e ponderato i diritti e gli interessi in gioco, tenendo conto dei criteri fissati dalla giurisprudenza della Corte. Benché alla luce di tutti tali criteri fosse stato impossibile concedere al ricorrente lo status di autore di segnalazioni di illeciti o di irregolarità, i suddetti tribunali avevano tenuto conto della sua buona fede e delle sue motivazioni, e avevano inflitto una sanzione molto ridotta a confronto di quelle che potevano essere comminate ai sensi del diritto lussemburghese. Di conseguenza la Corte, tenuto conto del margine nazionale di discrezionalità accordato agli Stati, doveva concludere che, nel caso di specie, non vi era stata violazione dell’articolo 10 della Convenzione.</w:t>
            </w:r>
            <w:r w:rsidRPr="00C969C1">
              <w:rPr>
                <w:i/>
                <w:iCs/>
              </w:rPr>
              <w:br/>
              <w:t xml:space="preserve">95. Il Governo ha contestato anche l’analisi del ricorrente secondo la quale la direttiva europea 2019/1937 costituiva un’estensione della tutela accordata agli autori di segnalazioni di illeciti o di irregolarità. Ha sostenuto </w:t>
            </w:r>
            <w:proofErr w:type="gramStart"/>
            <w:r w:rsidRPr="00C969C1">
              <w:rPr>
                <w:i/>
                <w:iCs/>
              </w:rPr>
              <w:t>che</w:t>
            </w:r>
            <w:proofErr w:type="gramEnd"/>
            <w:r w:rsidRPr="00C969C1">
              <w:rPr>
                <w:i/>
                <w:iCs/>
              </w:rPr>
              <w:t xml:space="preserve"> sebbene la direttiva non subordinasse formalmente la protezione delle persone segnalanti a una preliminare valutazione del danno provocato all’organo ufficiale o al datore di lavoro cui rispondeva la persona che aveva rivelato le informazioni, non si poteva tuttavia dedurne che non tenesse affatto conto di tale danno. Ha sostenuto che di tale danno si teneva conto non attraverso il bilanciamento degli interessi concorrenti bensì grazie alle condizioni alle quali la direttiva subordinava la tutela delle persone segnalanti. Il Governo ha sottolineato che tale tutela si applicava soltanto in casi rigorosamente definiti, che ha esposto dettagliatamente facendo riferimento agli articoli 2, 3, 5, 6, 14 e 15 della direttiva. Ha sostenuto che le condizioni che la direttiva prevedeva, affinché colui che rivelava informazioni riservate potesse godere di protezione, esigevano la soddisfazione di una serie di criteri complessi relativi all’oggetto delle informazioni divulgate, alla forma della loro divulgazione (che poteva essere pubblica, soltanto qualora forme alternative di divulgazione non avessero prodotto risultati e in casi indicati in maniera esaustiva) e all’obbligo di tenere conto del rispetto di varie forme di segreto (per esempio, il segreto professionale medico o forense). Ha asserito inoltre che il Parlamento della UE aveva fatto in modo di assicurare il bilanciamento degli interessi concorrenti e ha fatto riferimento in proposito al considerando 33 della direttiva (si veda il paragrafo 58 </w:t>
            </w:r>
            <w:proofErr w:type="spellStart"/>
            <w:r w:rsidRPr="00C969C1">
              <w:rPr>
                <w:i/>
                <w:iCs/>
              </w:rPr>
              <w:t>supra</w:t>
            </w:r>
            <w:proofErr w:type="spellEnd"/>
            <w:r w:rsidRPr="00C969C1">
              <w:rPr>
                <w:i/>
                <w:iCs/>
              </w:rPr>
              <w:t>).</w:t>
            </w:r>
            <w:r w:rsidRPr="00C969C1">
              <w:rPr>
                <w:i/>
                <w:iCs/>
              </w:rPr>
              <w:br/>
              <w:t>96. Più in generale, il Governo ha ritenuto che, in assenza di norme che contraddicevano o modificavano la sostanza della giurisprudenza della Corte, i principi e i criteri da essa stabiliti fornissero un quadro giuridico stabile, che garantiva un elevato livello di protezione agli autori di segnalazioni di illeciti o di irregolarità, commisurato al loro contributo a un dibattito di pubblico interesse. Ha sostenuto che l’applicazione di suddetti criteri da parte dei tribunali interni nel caso di specie attestava lo stesso livello di protezione, sottolineando che soltanto motivi legittimi, compatibili con la giurisprudenza della Corte, avevano indotto a negare al ricorrente il beneficio di tale protezione.</w:t>
            </w:r>
            <w:r w:rsidRPr="00C969C1">
              <w:rPr>
                <w:i/>
                <w:iCs/>
              </w:rPr>
              <w:br/>
            </w:r>
            <w:proofErr w:type="spellStart"/>
            <w:proofErr w:type="gramStart"/>
            <w:r w:rsidRPr="00C969C1">
              <w:rPr>
                <w:i/>
                <w:iCs/>
              </w:rPr>
              <w:t>C.Le</w:t>
            </w:r>
            <w:proofErr w:type="spellEnd"/>
            <w:proofErr w:type="gramEnd"/>
            <w:r w:rsidRPr="00C969C1">
              <w:rPr>
                <w:i/>
                <w:iCs/>
              </w:rPr>
              <w:t xml:space="preserve"> osservazioni dei terzi intervenienti</w:t>
            </w:r>
            <w:r w:rsidRPr="00C969C1">
              <w:rPr>
                <w:i/>
                <w:iCs/>
              </w:rPr>
              <w:br/>
            </w:r>
            <w:r w:rsidRPr="00C969C1">
              <w:rPr>
                <w:i/>
                <w:iCs/>
              </w:rPr>
              <w:lastRenderedPageBreak/>
              <w:t xml:space="preserve">1.Maison </w:t>
            </w:r>
            <w:proofErr w:type="spellStart"/>
            <w:r w:rsidRPr="00C969C1">
              <w:rPr>
                <w:i/>
                <w:iCs/>
              </w:rPr>
              <w:t>des</w:t>
            </w:r>
            <w:proofErr w:type="spellEnd"/>
            <w:r w:rsidRPr="00C969C1">
              <w:rPr>
                <w:i/>
                <w:iCs/>
              </w:rPr>
              <w:t xml:space="preserve"> </w:t>
            </w:r>
            <w:proofErr w:type="spellStart"/>
            <w:r w:rsidRPr="00C969C1">
              <w:rPr>
                <w:i/>
                <w:iCs/>
              </w:rPr>
              <w:t>Lanceurs</w:t>
            </w:r>
            <w:proofErr w:type="spellEnd"/>
            <w:r w:rsidRPr="00C969C1">
              <w:rPr>
                <w:i/>
                <w:iCs/>
              </w:rPr>
              <w:t xml:space="preserve"> d’alerte (</w:t>
            </w:r>
            <w:proofErr w:type="gramStart"/>
            <w:r w:rsidRPr="00C969C1">
              <w:rPr>
                <w:i/>
                <w:iCs/>
              </w:rPr>
              <w:t>in prosieguo</w:t>
            </w:r>
            <w:proofErr w:type="gramEnd"/>
            <w:r w:rsidRPr="00C969C1">
              <w:rPr>
                <w:i/>
                <w:iCs/>
              </w:rPr>
              <w:t>, “la MLA”)</w:t>
            </w:r>
            <w:r w:rsidRPr="00C969C1">
              <w:rPr>
                <w:i/>
                <w:iCs/>
              </w:rPr>
              <w:br/>
              <w:t>97. La MLA ha sostenuto che consentire ai tribunali interni di esaminare in quale misura una rivelazione comprenda “informazioni essenziali, nuove e inedite” nel contesto dell’esame della proporzionalità delle violazioni dell’articolo 10 della Convenzione avrebbe gravi conseguenze sull’effettività della tutela degli autori di segnalazioni di illeciti o di irregolarità. Ha sottolineato sia l’incertezza giuridica che tali criteri rischiano di provocare che l’impossibilità pratica per gli autori di segnalazioni di rispettare tali nuovi criteri. Essi potrebbero indurre gli Stati a non assumersi più le responsabilità derivanti dal loro obbligo di indagare sulle violazioni dei diritti umani, in quanto è spesso necessario lanciare più volte l’allarme sullo stesso tema prima che le autorità pubbliche se ne occupino effettivamente. In proposito, la MLA ha sostenuto che il ricorso alla copertura mediatica è di solito la necessaria condizione preliminare affinché una segnalazione sia efficace, in quanto si possono ottenere cambiamenti istituzionali di lungo periodo e vasta portata soltanto lanciando l’allarme sui mezzi di comunicazione di massa.</w:t>
            </w:r>
            <w:r w:rsidRPr="00C969C1">
              <w:rPr>
                <w:i/>
                <w:iCs/>
              </w:rPr>
              <w:br/>
              <w:t xml:space="preserve">98. La MLA ha fatto riferimento a ricerche sociologiche che mostrano che l’efficacia dei sistemi di tutela delle segnalazioni di illeciti o di irregolarità dipende dalla loro intelligibilità e prevedibilità. Ha sostenuto che pretendere che le informazioni rivelate siano “essenziali, nuove e inedite” sarebbe fonte di una notevole incertezza giuridica per gli autori delle segnalazioni e ridurrebbe la capacità delle “sentinelle della democrazia” di svolgere la loro funzione di incentivo ai dibatti di interesse pubblico. Inoltre, accrediterebbe l’idea che un dibattito pubblico possa essere istantaneo o immobile nel tempo, mentre l’atteggiamento dei cittadini verso le questioni di interesse generale evolve con il tempo. </w:t>
            </w:r>
            <w:proofErr w:type="gramStart"/>
            <w:r w:rsidRPr="00C969C1">
              <w:rPr>
                <w:i/>
                <w:iCs/>
              </w:rPr>
              <w:t>Infine</w:t>
            </w:r>
            <w:proofErr w:type="gramEnd"/>
            <w:r w:rsidRPr="00C969C1">
              <w:rPr>
                <w:i/>
                <w:iCs/>
              </w:rPr>
              <w:t xml:space="preserve"> un tale requisito sarebbe totalmente inadeguato al profilo degli autori di segnalazioni di illeciti o di irregolarità nell’attuale realtà dei social network.</w:t>
            </w:r>
            <w:r w:rsidRPr="00C969C1">
              <w:rPr>
                <w:i/>
                <w:iCs/>
              </w:rPr>
              <w:br/>
              <w:t xml:space="preserve">99. La MLA ha sottolineato inoltre che la direttiva europea esige soltanto che la persona segnalante abbia fondati motivi di ritenere che le informazioni segnalate siano vere al momento della segnalazione (articolo 6 § 1 della direttiva). Ha osservato che la migliore prassi internazionali ha dimostrato l’esistenza del criterio della “ragionevole convinzione” in ordine all’autenticità delle informazioni divulgate. Più in generale, ha invocato il memorandum esplicativo della direttiva (considerando 43, si veda il paragrafo 58 </w:t>
            </w:r>
            <w:proofErr w:type="spellStart"/>
            <w:r w:rsidRPr="00C969C1">
              <w:rPr>
                <w:i/>
                <w:iCs/>
              </w:rPr>
              <w:t>supra</w:t>
            </w:r>
            <w:proofErr w:type="spellEnd"/>
            <w:r w:rsidRPr="00C969C1">
              <w:rPr>
                <w:i/>
                <w:iCs/>
              </w:rPr>
              <w:t>) per sottolineare che i criteri di accesso allo status di autore di segnalazioni di illeciti o di irregolarità dovrebbero essere sufficientemente aperti da consentire a chiunque possa nutrire ragionevoli sospetti di lanciare l’allarme e ottenere protezione a tale titolo. La MLA ha sostenuto che tenere conto della “novità” delle informazioni vanificherebbe le finalità della direttiva e potrebbe porre i tribunali nazionali di fronte al dilemma di dover scegliere tra l’applicazione del diritto derivante dalla Convenzione e l’applicazione del diritto dell’Unione, con conseguente indebolimento della forza e dell’effettività del diritto derivante dalla Convenzione e delle sentenze della Corte.</w:t>
            </w:r>
            <w:r w:rsidRPr="00C969C1">
              <w:rPr>
                <w:i/>
                <w:iCs/>
              </w:rPr>
              <w:br/>
            </w:r>
            <w:proofErr w:type="gramStart"/>
            <w:r w:rsidRPr="00C969C1">
              <w:rPr>
                <w:i/>
                <w:iCs/>
              </w:rPr>
              <w:t>2.Media</w:t>
            </w:r>
            <w:proofErr w:type="gramEnd"/>
            <w:r w:rsidRPr="00C969C1">
              <w:rPr>
                <w:i/>
                <w:iCs/>
              </w:rPr>
              <w:t xml:space="preserve"> </w:t>
            </w:r>
            <w:proofErr w:type="spellStart"/>
            <w:r w:rsidRPr="00C969C1">
              <w:rPr>
                <w:i/>
                <w:iCs/>
              </w:rPr>
              <w:t>Defence</w:t>
            </w:r>
            <w:proofErr w:type="spellEnd"/>
            <w:r w:rsidRPr="00C969C1">
              <w:rPr>
                <w:i/>
                <w:iCs/>
              </w:rPr>
              <w:br/>
              <w:t xml:space="preserve">100. Media </w:t>
            </w:r>
            <w:proofErr w:type="spellStart"/>
            <w:r w:rsidRPr="00C969C1">
              <w:rPr>
                <w:i/>
                <w:iCs/>
              </w:rPr>
              <w:t>Defence</w:t>
            </w:r>
            <w:proofErr w:type="spellEnd"/>
            <w:r w:rsidRPr="00C969C1">
              <w:rPr>
                <w:i/>
                <w:iCs/>
              </w:rPr>
              <w:t xml:space="preserve"> ha osservato che le questioni da determinare nel caso di specie possono avere un impatto significativo sulla pratica del giornalismo di inchiesta, specialmente in un contesto in cui in tutto il territorio degli Stati membri del Consiglio d’Europa si esercita una crescente pressione sulle fonti giornalistiche. Al riguardo Media </w:t>
            </w:r>
            <w:proofErr w:type="spellStart"/>
            <w:r w:rsidRPr="00C969C1">
              <w:rPr>
                <w:i/>
                <w:iCs/>
              </w:rPr>
              <w:t>Defence</w:t>
            </w:r>
            <w:proofErr w:type="spellEnd"/>
            <w:r w:rsidRPr="00C969C1">
              <w:rPr>
                <w:i/>
                <w:iCs/>
              </w:rPr>
              <w:t xml:space="preserve"> ha sottolineato che gli autori di segnalazioni di illeciti o di irregolarità svolgono un ruolo importante quali fonti giornalistiche, rivelando </w:t>
            </w:r>
            <w:r w:rsidRPr="00C969C1">
              <w:rPr>
                <w:i/>
                <w:iCs/>
              </w:rPr>
              <w:lastRenderedPageBreak/>
              <w:t xml:space="preserve">informazioni importanti su una serie di questioni inerenti all’interesse pubblico. Qualsiasi riduzione del livello di protezione loro accordato inciderebbe, di riflesso, sulla capacità della stampa di svolgere il suo lavoro. Ha fatto riferimento a quanto affermato rapporto </w:t>
            </w:r>
            <w:proofErr w:type="gramStart"/>
            <w:r w:rsidRPr="00C969C1">
              <w:rPr>
                <w:i/>
                <w:iCs/>
              </w:rPr>
              <w:t>dell’OCSE :</w:t>
            </w:r>
            <w:proofErr w:type="gramEnd"/>
            <w:r w:rsidRPr="00C969C1">
              <w:rPr>
                <w:i/>
                <w:iCs/>
              </w:rPr>
              <w:t xml:space="preserve"> “la protezione degli autori di segnalazioni di illeciti o di irregolarità è l’ultima linea di difesa a salvaguardia dell’interesse pubblico”.</w:t>
            </w:r>
            <w:r w:rsidRPr="00C969C1">
              <w:rPr>
                <w:i/>
                <w:iCs/>
              </w:rPr>
              <w:br/>
              <w:t xml:space="preserve">101. Media </w:t>
            </w:r>
            <w:proofErr w:type="spellStart"/>
            <w:r w:rsidRPr="00C969C1">
              <w:rPr>
                <w:i/>
                <w:iCs/>
              </w:rPr>
              <w:t>Defence</w:t>
            </w:r>
            <w:proofErr w:type="spellEnd"/>
            <w:r w:rsidRPr="00C969C1">
              <w:rPr>
                <w:i/>
                <w:iCs/>
              </w:rPr>
              <w:t xml:space="preserve"> ha invocato in proposito la direttiva europea nel cui preambolo si dichiara che la protezione degli informatori quali fonte giornalistica è fondamentale per salvaguardare la funzione di vigilanza del giornalismo d’inchiesta nelle società democratiche. A titolo illustrativo, Media </w:t>
            </w:r>
            <w:proofErr w:type="spellStart"/>
            <w:r w:rsidRPr="00C969C1">
              <w:rPr>
                <w:i/>
                <w:iCs/>
              </w:rPr>
              <w:t>Defence</w:t>
            </w:r>
            <w:proofErr w:type="spellEnd"/>
            <w:r w:rsidRPr="00C969C1">
              <w:rPr>
                <w:i/>
                <w:iCs/>
              </w:rPr>
              <w:t xml:space="preserve"> ha fatto notare che in anni recenti numerosi casi di corruzione e malaffare sono venuti alla luce grazie ad autori di segnalazioni, e ha citato le informazioni divulgate a proposito di Facebook e Boeing, nonché i Panama paper. L’impossibilità per la stampa di ottenere informazioni da soggetti privati, secondo Media </w:t>
            </w:r>
            <w:proofErr w:type="spellStart"/>
            <w:r w:rsidRPr="00C969C1">
              <w:rPr>
                <w:i/>
                <w:iCs/>
              </w:rPr>
              <w:t>Defence</w:t>
            </w:r>
            <w:proofErr w:type="spellEnd"/>
            <w:r w:rsidRPr="00C969C1">
              <w:rPr>
                <w:i/>
                <w:iCs/>
              </w:rPr>
              <w:t>, rafforza l’importanza delle informazioni che gli autori di segnalazioni di illeciti o di irregolarità possono comunicare.</w:t>
            </w:r>
            <w:r w:rsidRPr="00C969C1">
              <w:rPr>
                <w:i/>
                <w:iCs/>
              </w:rPr>
              <w:br/>
              <w:t>102. Il terzo interveniente ha sottolineato inoltre l’importanza per gli autori delle segnalazioni di poter contare su un quadro giuridico di tutela chiaro, coerente e preciso. Qualsiasi incertezza in questo ambito avrebbe inevitabilmente un effetto dissuasivo.</w:t>
            </w:r>
            <w:r w:rsidRPr="00C969C1">
              <w:rPr>
                <w:i/>
                <w:iCs/>
              </w:rPr>
              <w:br/>
              <w:t xml:space="preserve">103. Infine, pur riconoscendo la necessità di tenere conto del dovere di lealtà e discrezione nella valutazione dei casi di segnalazione di illeciti o di irregolarità, Media </w:t>
            </w:r>
            <w:proofErr w:type="spellStart"/>
            <w:r w:rsidRPr="00C969C1">
              <w:rPr>
                <w:i/>
                <w:iCs/>
              </w:rPr>
              <w:t>Defence</w:t>
            </w:r>
            <w:proofErr w:type="spellEnd"/>
            <w:r w:rsidRPr="00C969C1">
              <w:rPr>
                <w:i/>
                <w:iCs/>
              </w:rPr>
              <w:t xml:space="preserve"> ha osservato che esso deve applicarsi in misura minore qualora le informazioni siano divulgate da un dipendente del settore privato. Ha sottolineato </w:t>
            </w:r>
            <w:proofErr w:type="gramStart"/>
            <w:r w:rsidRPr="00C969C1">
              <w:rPr>
                <w:i/>
                <w:iCs/>
              </w:rPr>
              <w:t>che</w:t>
            </w:r>
            <w:proofErr w:type="gramEnd"/>
            <w:r w:rsidRPr="00C969C1">
              <w:rPr>
                <w:i/>
                <w:iCs/>
              </w:rPr>
              <w:t xml:space="preserve"> mentre il fine dello Stato è, o dovrebbe essere, il bene pubblico, lo scopo di un’impresa privata resta il profitto.</w:t>
            </w:r>
            <w:r w:rsidRPr="00C969C1">
              <w:rPr>
                <w:i/>
                <w:iCs/>
              </w:rPr>
              <w:br/>
            </w:r>
            <w:proofErr w:type="gramStart"/>
            <w:r w:rsidRPr="00C969C1">
              <w:rPr>
                <w:i/>
                <w:iCs/>
              </w:rPr>
              <w:t>3.Whistleblower</w:t>
            </w:r>
            <w:proofErr w:type="gramEnd"/>
            <w:r w:rsidRPr="00C969C1">
              <w:rPr>
                <w:i/>
                <w:iCs/>
              </w:rPr>
              <w:t xml:space="preserve"> </w:t>
            </w:r>
            <w:proofErr w:type="spellStart"/>
            <w:r w:rsidRPr="00C969C1">
              <w:rPr>
                <w:i/>
                <w:iCs/>
              </w:rPr>
              <w:t>Netzwerk</w:t>
            </w:r>
            <w:proofErr w:type="spellEnd"/>
            <w:r w:rsidRPr="00C969C1">
              <w:rPr>
                <w:i/>
                <w:iCs/>
              </w:rPr>
              <w:t xml:space="preserve"> E.V. (WBN)</w:t>
            </w:r>
            <w:r w:rsidRPr="00C969C1">
              <w:rPr>
                <w:i/>
                <w:iCs/>
              </w:rPr>
              <w:br/>
              <w:t>104. WBN ha sostenuto che il criterio che prevede che le informazioni siano “essenziali, nuove e inedite” è contrario alle norme internazionali di tutela e persino alla giurisprudenza della Corte. L’applicazione di tale criterio provocherebbe la perdita della tutela giuridica di cui attualmente godono gli autori di segnalazioni di illeciti o di irregolarità, segnando una rottura con la netta posizione fin qui adottata dalla Corte. Indurrebbe a sostituire la considerazione della prospettiva individuale ex ante dell’autore della segnalazione con un’analisi a posteriori della situazione, diventando così una fonte di incertezza giuridica per qualunque autore di segnalazioni.</w:t>
            </w:r>
            <w:r w:rsidRPr="00C969C1">
              <w:rPr>
                <w:i/>
                <w:iCs/>
              </w:rPr>
              <w:br/>
              <w:t xml:space="preserve">105. Secondo WBN, benché i “criteri </w:t>
            </w:r>
            <w:proofErr w:type="spellStart"/>
            <w:r w:rsidRPr="00C969C1">
              <w:rPr>
                <w:i/>
                <w:iCs/>
              </w:rPr>
              <w:t>Guja</w:t>
            </w:r>
            <w:proofErr w:type="spellEnd"/>
            <w:r w:rsidRPr="00C969C1">
              <w:rPr>
                <w:i/>
                <w:iCs/>
              </w:rPr>
              <w:t>” richiedano di essere chiariti al fine di tenere conto e di adattarsi alla costante crescita dei casi di segnalazione di illeciti o di irregolarità, rimane il fatto che da anni tali criteri forniscono un quadro di tutela che è fonte di certezza giuridica.</w:t>
            </w:r>
            <w:r w:rsidRPr="00C969C1">
              <w:rPr>
                <w:i/>
                <w:iCs/>
              </w:rPr>
              <w:br/>
              <w:t xml:space="preserve">106. WBN ha sottolineato anche la necessità di evitare di porre in conflitto la giurisprudenza della Corte con la direttiva europea. A tale proposito ha descritto le differenze che a suo giudizio esistono tra la giurisprudenza della Corte e la direttiva, osservando in particolare che la direttiva si astiene dall’imporre il ricorso prioritario alla segnalazione interna, lasciando all’autore della segnalazione la scelta del canale che egli ritiene più efficace per divulgare le informazioni. WBN ha anche sottolineato </w:t>
            </w:r>
            <w:proofErr w:type="gramStart"/>
            <w:r w:rsidRPr="00C969C1">
              <w:rPr>
                <w:i/>
                <w:iCs/>
              </w:rPr>
              <w:t>che</w:t>
            </w:r>
            <w:proofErr w:type="gramEnd"/>
            <w:r w:rsidRPr="00C969C1">
              <w:rPr>
                <w:i/>
                <w:iCs/>
              </w:rPr>
              <w:t xml:space="preserve"> per quanto riguarda le motivazioni dell’autore della segnalazione la direttiva non prevede alcuna condizione relativa alla buona fede.</w:t>
            </w:r>
            <w:r w:rsidRPr="00C969C1">
              <w:rPr>
                <w:i/>
                <w:iCs/>
              </w:rPr>
              <w:br/>
              <w:t xml:space="preserve">107. Infine, WBN ha fatto riferimento all’opinione dissenziente comune allegata alla sentenza della Camera sottolineando che la certezza giuridica costituiva un aspetto essenziale dell’efficacia della </w:t>
            </w:r>
            <w:r w:rsidRPr="00C969C1">
              <w:rPr>
                <w:i/>
                <w:iCs/>
              </w:rPr>
              <w:lastRenderedPageBreak/>
              <w:t>tutela accordata agli autori di segnalazioni di illeciti o di irregolarità, che si espongono a forme di ritorsione molto gravi che impediscono loro di guadagnarsi da vivere in modo adeguato o di sostentare le proprie famiglie per anni.</w:t>
            </w:r>
            <w:r w:rsidRPr="00C969C1">
              <w:rPr>
                <w:i/>
                <w:iCs/>
              </w:rPr>
              <w:br/>
            </w:r>
            <w:proofErr w:type="spellStart"/>
            <w:proofErr w:type="gramStart"/>
            <w:r w:rsidRPr="00C969C1">
              <w:rPr>
                <w:i/>
                <w:iCs/>
              </w:rPr>
              <w:t>D.La</w:t>
            </w:r>
            <w:proofErr w:type="spellEnd"/>
            <w:proofErr w:type="gramEnd"/>
            <w:r w:rsidRPr="00C969C1">
              <w:rPr>
                <w:i/>
                <w:iCs/>
              </w:rPr>
              <w:t xml:space="preserve"> valutazione della Corte</w:t>
            </w:r>
            <w:r w:rsidRPr="00C969C1">
              <w:rPr>
                <w:i/>
                <w:iCs/>
              </w:rPr>
              <w:br/>
              <w:t>108. Al pari delle parti, che non contestano tale punto, la Corte ritiene che la condanna del ricorrente costituisca un’ingerenza nell’esercizio del suo diritto alla libertà di espressione tutelato dall’articolo 10 della Convenzione. Essa ammette inoltre, osservando al contempo che le parti non hanno sollevato tale punto, che l’ingerenza era prevista dalla legge e perseguiva almeno uno dei fini legittimi elencati dall’articolo 10 § 2 della Convenzione, ovvero la protezione della reputazione o dei diritti altrui, nello specifico della PwC.</w:t>
            </w:r>
            <w:r w:rsidRPr="00C969C1">
              <w:rPr>
                <w:i/>
                <w:iCs/>
              </w:rPr>
              <w:br/>
              <w:t>109. Resta da affrontare la questione di sapere se l’ingerenza “fosse necessaria in una società democratica”.</w:t>
            </w:r>
            <w:r w:rsidRPr="00C969C1">
              <w:rPr>
                <w:i/>
                <w:iCs/>
              </w:rPr>
              <w:br/>
            </w:r>
            <w:proofErr w:type="gramStart"/>
            <w:r w:rsidRPr="00C969C1">
              <w:rPr>
                <w:i/>
                <w:iCs/>
              </w:rPr>
              <w:t>1.I</w:t>
            </w:r>
            <w:proofErr w:type="gramEnd"/>
            <w:r w:rsidRPr="00C969C1">
              <w:rPr>
                <w:i/>
                <w:iCs/>
              </w:rPr>
              <w:t xml:space="preserve"> principi generali fissati dalla giurisprudenza della Corte</w:t>
            </w:r>
            <w:r w:rsidRPr="00C969C1">
              <w:rPr>
                <w:i/>
                <w:iCs/>
              </w:rPr>
              <w:br/>
              <w:t xml:space="preserve">110. I principi fondamentali concernenti la necessità in una società democratica di un’ingerenza nell’esercizio della libertà di espressione sono ben consolidati nella giurisprudenza della Corte e sono stati riassunti come segue, inter alia, nelle cause </w:t>
            </w:r>
            <w:proofErr w:type="spellStart"/>
            <w:r w:rsidRPr="00C969C1">
              <w:rPr>
                <w:i/>
                <w:iCs/>
              </w:rPr>
              <w:t>Hertel</w:t>
            </w:r>
            <w:proofErr w:type="spellEnd"/>
            <w:r w:rsidRPr="00C969C1">
              <w:rPr>
                <w:i/>
                <w:iCs/>
              </w:rPr>
              <w:t xml:space="preserve"> c. Svizzera (25 agosto 1998, § 46, Reports of </w:t>
            </w:r>
            <w:proofErr w:type="spellStart"/>
            <w:r w:rsidRPr="00C969C1">
              <w:rPr>
                <w:i/>
                <w:iCs/>
              </w:rPr>
              <w:t>Judgments</w:t>
            </w:r>
            <w:proofErr w:type="spellEnd"/>
            <w:r w:rsidRPr="00C969C1">
              <w:rPr>
                <w:i/>
                <w:iCs/>
              </w:rPr>
              <w:t xml:space="preserve"> and </w:t>
            </w:r>
            <w:proofErr w:type="spellStart"/>
            <w:r w:rsidRPr="00C969C1">
              <w:rPr>
                <w:i/>
                <w:iCs/>
              </w:rPr>
              <w:t>Decisions</w:t>
            </w:r>
            <w:proofErr w:type="spellEnd"/>
            <w:r w:rsidRPr="00C969C1">
              <w:rPr>
                <w:i/>
                <w:iCs/>
              </w:rPr>
              <w:t xml:space="preserve"> 1998 VI), Steel e Morris (sopra citata § 87) e </w:t>
            </w:r>
            <w:proofErr w:type="spellStart"/>
            <w:r w:rsidRPr="00C969C1">
              <w:rPr>
                <w:i/>
                <w:iCs/>
              </w:rPr>
              <w:t>Guja</w:t>
            </w:r>
            <w:proofErr w:type="spellEnd"/>
            <w:r w:rsidRPr="00C969C1">
              <w:rPr>
                <w:i/>
                <w:iCs/>
              </w:rPr>
              <w:t xml:space="preserve"> (sopra citata, § 69):</w:t>
            </w:r>
            <w:r w:rsidRPr="00C969C1">
              <w:rPr>
                <w:i/>
                <w:iCs/>
              </w:rPr>
              <w:br/>
              <w:t>“La libertà di espressione costituisce uno dei fondamenti essenziali di una società democratica e una delle condizioni fondamentali del suo progresso e dell’autorealizzazione di ciascuna persona. Fatto salvo il paragrafo 2 dell’articolo 10, essa si applica non soltanto a ‘informazioni’ o ‘idee’ accolte favorevolmente o considerate inoffensive o indifferenti, bensì anche quelle che offendono, sconcertano o turbano, così vogliono le esigenze di pluralismo, tolleranza e apertura mentale, senza le quali non vi è ‘società democratica’. Come indicato dall’articolo 10, tale libertà è soggetta a eccezioni che (…) devono tuttavia essere interpretate strettamente, e la necessità di qualsiasi limitazione deve essere dimostrata in modo convincente (…)</w:t>
            </w:r>
            <w:r w:rsidRPr="00C969C1">
              <w:rPr>
                <w:i/>
                <w:iCs/>
              </w:rPr>
              <w:br/>
              <w:t>L’aggettivo ‘necessaria’ ai sensi dell’articolo 10 § 2 implica l’esistenza di una ‘pressante esigenza sociale’. In generale la ‘necessità’ di un’ingerenza nell’esercizio della libertà di espressione deve essere dimostrata in modo convincente. Indubbiamente spetta in primo luogo alle autorità nazionali accertare l’esistenza di una tale esigenza in grado di giustificare l’ingerenza, e a tal fine dispongono di un certo margine di discrezionalità, che tuttavia va di pari passo con il controllo della Corte concernente sia il diritto che le decisioni che lo applicano.</w:t>
            </w:r>
            <w:r w:rsidRPr="00C969C1">
              <w:rPr>
                <w:i/>
                <w:iCs/>
              </w:rPr>
              <w:br/>
              <w:t xml:space="preserve">Quando esercita il suo potere di controllo, la Corte deve esaminare l’ingerenza alla luce della causa nel suo insieme, compreso il contenuto delle dichiarazioni impugnate e il contesto nel quale sono state formulate. </w:t>
            </w:r>
            <w:proofErr w:type="gramStart"/>
            <w:r w:rsidRPr="00C969C1">
              <w:rPr>
                <w:i/>
                <w:iCs/>
              </w:rPr>
              <w:t>In particolare</w:t>
            </w:r>
            <w:proofErr w:type="gramEnd"/>
            <w:r w:rsidRPr="00C969C1">
              <w:rPr>
                <w:i/>
                <w:iCs/>
              </w:rPr>
              <w:t xml:space="preserve"> deve determinare se l’ingerenza in questione sia ‘proporzionata ai legittimi fini perseguiti’ e se le ragioni addotte dalle autorità nazionale per giustificarla siano ‘pertinenti e sufficienti’. A tal fine la Corte deve assicurarsi che tali autorità abbiano applicato norme conformi ai principi sanciti dall’articolo 10 e si siano basate inoltre su una valutazione accettabile dei fatti pertinenti.”</w:t>
            </w:r>
            <w:r w:rsidRPr="00C969C1">
              <w:rPr>
                <w:i/>
                <w:iCs/>
              </w:rPr>
              <w:br/>
              <w:t>(a)I principi generali concernenti il diritto alla libertà di espressione nell’ambito dei rapporti professionali</w:t>
            </w:r>
            <w:r w:rsidRPr="00C969C1">
              <w:rPr>
                <w:i/>
                <w:iCs/>
              </w:rPr>
              <w:br/>
            </w:r>
            <w:r w:rsidRPr="00C969C1">
              <w:rPr>
                <w:i/>
                <w:iCs/>
              </w:rPr>
              <w:lastRenderedPageBreak/>
              <w:t xml:space="preserve">111. Quando è stata investita di controversie concernenti la libertà di espressione nel contesto dei rapporti professionali, la Corte ha concluso che la tutela di cui all’articolo 10 della Convenzione si estendeva in generale al luogo di lavoro (si veda </w:t>
            </w:r>
            <w:proofErr w:type="spellStart"/>
            <w:r w:rsidRPr="00C969C1">
              <w:rPr>
                <w:i/>
                <w:iCs/>
              </w:rPr>
              <w:t>Kudeshkina</w:t>
            </w:r>
            <w:proofErr w:type="spellEnd"/>
            <w:r w:rsidRPr="00C969C1">
              <w:rPr>
                <w:i/>
                <w:iCs/>
              </w:rPr>
              <w:t xml:space="preserve"> c. Russia, n. 29492/05, § 85, 26 febbraio 2009, e i riferimenti giurisprudenziali ivi citati). Ha inoltre sottolineato che tale articolo è vincolante non soltanto per i rapporti tra datore di lavoro e dipendente disciplinati dal diritto pubblico ma che può applicarsi anche a quelli disciplinati dal diritto privato (si veda, inter alia, </w:t>
            </w:r>
            <w:proofErr w:type="spellStart"/>
            <w:r w:rsidRPr="00C969C1">
              <w:rPr>
                <w:i/>
                <w:iCs/>
              </w:rPr>
              <w:t>Palomo</w:t>
            </w:r>
            <w:proofErr w:type="spellEnd"/>
            <w:r w:rsidRPr="00C969C1">
              <w:rPr>
                <w:i/>
                <w:iCs/>
              </w:rPr>
              <w:t xml:space="preserve"> Sánchez e altri c. Spagna [GC], </w:t>
            </w:r>
            <w:proofErr w:type="spellStart"/>
            <w:r w:rsidRPr="00C969C1">
              <w:rPr>
                <w:i/>
                <w:iCs/>
              </w:rPr>
              <w:t>nn</w:t>
            </w:r>
            <w:proofErr w:type="spellEnd"/>
            <w:r w:rsidRPr="00C969C1">
              <w:rPr>
                <w:i/>
                <w:iCs/>
              </w:rPr>
              <w:t>. 28955/06 e altri 3, § 59, CEDU 2011). Invero, l’esercizio autentico ed effettivo della libertà di espressione non dipende semplicemente dall’obbligo dello Stato di non ingerirsi ma può richiedere misure di tutela positive anche nella sfera dei rapporti interpersonali. In alcuni casi lo Stato ha l’obbligo positivo di proteggere il diritto alla libertà di espressione anche dalle ingerenze dei privati (ibid., § 59).</w:t>
            </w:r>
            <w:r w:rsidRPr="00C969C1">
              <w:rPr>
                <w:i/>
                <w:iCs/>
              </w:rPr>
              <w:br/>
              <w:t xml:space="preserve">112. La tutela della libertà di espressione sul luogo di lavoro costituisce pertanto un orientamento coerente e consolidato della giurisprudenza della Corte, che ha gradualmente individuato un’esigenza di protezione speciale di cui, a certe condizioni, devono beneficiare i dipendenti pubblici o privati che, in violazione delle norme loro applicabili, divulgano informazioni riservate ottenute nel luogo di lavoro. È stato così sviluppato un corpus giurisprudenziale che tutela gli “autori di segnalazioni di illeciti o irregolarità” sebbene la Corta non abbia utilizzato espressamente tale terminologia. Nella sentenza </w:t>
            </w:r>
            <w:proofErr w:type="spellStart"/>
            <w:r w:rsidRPr="00C969C1">
              <w:rPr>
                <w:i/>
                <w:iCs/>
              </w:rPr>
              <w:t>Guja</w:t>
            </w:r>
            <w:proofErr w:type="spellEnd"/>
            <w:r w:rsidRPr="00C969C1">
              <w:rPr>
                <w:i/>
                <w:iCs/>
              </w:rPr>
              <w:t xml:space="preserve"> (sopra citata) la Corte ha definito per la prima volta i criteri di esame per valutare se e in che misura una persona (nel caso dato, un funzionario pubblico), che ha divulgato informazioni riservate ottenute nel luogo di lavoro, possa invocare la protezione di cui all’articolo 10 della Convenzione. Ha specificato anche le circostanze nelle quali le sanzioni inflitte in risposta a dette rivelazioni possono costituire un’ingerenza nel diritto alla libertà di espressione e una violazione dell’articolo 10 della Convenzione.</w:t>
            </w:r>
            <w:r w:rsidRPr="00C969C1">
              <w:rPr>
                <w:i/>
                <w:iCs/>
              </w:rPr>
              <w:br/>
              <w:t xml:space="preserve">113. Di seguito si indicano i criteri individuati dalla Corte (si veda </w:t>
            </w:r>
            <w:proofErr w:type="spellStart"/>
            <w:r w:rsidRPr="00C969C1">
              <w:rPr>
                <w:i/>
                <w:iCs/>
              </w:rPr>
              <w:t>Guja</w:t>
            </w:r>
            <w:proofErr w:type="spellEnd"/>
            <w:r w:rsidRPr="00C969C1">
              <w:rPr>
                <w:i/>
                <w:iCs/>
              </w:rPr>
              <w:t>, sopra citata, §§ 72-78):</w:t>
            </w:r>
            <w:r w:rsidRPr="00C969C1">
              <w:rPr>
                <w:i/>
                <w:iCs/>
              </w:rPr>
              <w:br/>
              <w:t>“(...) In proposito la Corte osserva che un dipendente pubblico, nel corso del suo lavoro, può venire a conoscenza di informazioni interne, anche di informazioni segrete, la cui divulgazione o pubblicazione risponde a un forte interesse pubblico. La Corte ritiene pertanto che la segnalazione da parte di un dipendente pubblico o di un impiegato del settore pubblico di condotte o atti illegali commessi nel luogo di lavoro debba, in certe circostanze, essere protetta. Ciò può essere necessario qualora l’impiegato o il dipendente pubblico sia l’unica persona, o faccia parte di un’esigua categoria di persone, a conoscenza di quanto accade al lavoro e sia pertanto la persona più idonea ad agire nel pubblico interesse, avvertendo il datore di lavoro o l’opinione pubblica.</w:t>
            </w:r>
            <w:r w:rsidRPr="00C969C1">
              <w:rPr>
                <w:i/>
                <w:iCs/>
              </w:rPr>
              <w:br/>
              <w:t>(...)</w:t>
            </w:r>
            <w:r w:rsidRPr="00C969C1">
              <w:rPr>
                <w:i/>
                <w:iCs/>
              </w:rPr>
              <w:br/>
              <w:t xml:space="preserve">Alla luce del dovere di discrezione sopra menzionato, occorre che la segnalazione sia rivolta dal suo </w:t>
            </w:r>
            <w:proofErr w:type="gramStart"/>
            <w:r w:rsidRPr="00C969C1">
              <w:rPr>
                <w:i/>
                <w:iCs/>
              </w:rPr>
              <w:t>autore in primo luogo</w:t>
            </w:r>
            <w:proofErr w:type="gramEnd"/>
            <w:r w:rsidRPr="00C969C1">
              <w:rPr>
                <w:i/>
                <w:iCs/>
              </w:rPr>
              <w:t xml:space="preserve"> al suo superiore o a un’altra autorità o organo competente. Soltanto qualora ciò sia chiaramente impraticabile, le informazioni possono, in ultima istanza, essere divulgate al pubblico (…) Per valutare se la limitazione della libertà di espressione sia proporzionata la Corte deve, pertanto, esaminare se il ricorrente disponeva di altri mezzi effettivi per porre rimedio agli atti illeciti che intendeva portare alla luce.</w:t>
            </w:r>
            <w:r w:rsidRPr="00C969C1">
              <w:rPr>
                <w:i/>
                <w:iCs/>
              </w:rPr>
              <w:br/>
              <w:t xml:space="preserve">Per valutare in tal caso la proporzionalità dell’ingerenza nella libertà di espressione di un dipendente pubblico, la Corte deve tenere conto anche di una serie di altri fattori. </w:t>
            </w:r>
            <w:proofErr w:type="gramStart"/>
            <w:r w:rsidRPr="00C969C1">
              <w:rPr>
                <w:i/>
                <w:iCs/>
              </w:rPr>
              <w:t>In primo luogo</w:t>
            </w:r>
            <w:proofErr w:type="gramEnd"/>
            <w:r w:rsidRPr="00C969C1">
              <w:rPr>
                <w:i/>
                <w:iCs/>
              </w:rPr>
              <w:t xml:space="preserve"> </w:t>
            </w:r>
            <w:r w:rsidRPr="00C969C1">
              <w:rPr>
                <w:i/>
                <w:iCs/>
              </w:rPr>
              <w:lastRenderedPageBreak/>
              <w:t>occorre accordare particolare attenzione all’interesse pubblico presentato dalle informazioni divulgate. La Corte ribadisce che l’articolo 10 § 2 della Convenzione lascia scarso margine alle limitazioni dei dibattiti su questione di pubblico interesse (…)</w:t>
            </w:r>
            <w:r w:rsidRPr="00C969C1">
              <w:rPr>
                <w:i/>
                <w:iCs/>
              </w:rPr>
              <w:br/>
              <w:t>Il secondo fattore rilevante per l’esercizio di bilanciamento è l’autenticità delle informazioni divulgate (…) La libertà di espressione comporta inoltre doveri e responsabilità, e chiunque decida di divulgare informazioni deve verificare attentamente, nella misura in cui le circostanze lo consentono, la loro accuratezza e attendibilità (…)</w:t>
            </w:r>
            <w:r w:rsidRPr="00C969C1">
              <w:rPr>
                <w:i/>
                <w:iCs/>
              </w:rPr>
              <w:br/>
              <w:t>Sull’altro piatto della bilancia, la Corte deve collocare l’eventuale danno subito dall’autorità pubblica a seguito delle rivelazioni in questione ed esaminare se esso prevalga sull’interesse del pubblico a ottenere le informazioni (…) A tale proposito possono essere rilevanti l’oggetto delle rivelazioni e la natura dell’autorità amministrativa interessata (…)</w:t>
            </w:r>
            <w:r w:rsidRPr="00C969C1">
              <w:rPr>
                <w:i/>
                <w:iCs/>
              </w:rPr>
              <w:br/>
              <w:t>Le motivazioni soggiacenti agli atti del dipendente che segnala sono un altro fattore determinante per decidere se una certa rivelazione debba o meno essere tutelata. Per esempio un atto motivato da rancore od ostilità personali, dalla speranza di vantaggi personali, in particolare di guadagni economici, non giustifica un livello di tutela particolarmente elevato (…) È importante accertare che la persona, effettuando le rivelazioni, abbia agito in buona fede e nella convinzione che le informazioni fossero vere, che la loro divulgazione fosse nel pubblico interesse, e che ella non disponesse di altri mezzi, più discreti, per porre rimedio agli atti illeciti.</w:t>
            </w:r>
            <w:r w:rsidRPr="00C969C1">
              <w:rPr>
                <w:i/>
                <w:iCs/>
              </w:rPr>
              <w:br/>
              <w:t>Infine, ai fini dell’esame della proporzionalità dell’ingerenza in rapporto al fine legittimo perseguito, occorre svolgere un’attenta analisi della sanzione inflitta al ricorrente e delle sue conseguenze (…)”</w:t>
            </w:r>
            <w:r w:rsidRPr="00C969C1">
              <w:rPr>
                <w:i/>
                <w:iCs/>
              </w:rPr>
              <w:br/>
              <w:t xml:space="preserve">114. </w:t>
            </w:r>
            <w:proofErr w:type="gramStart"/>
            <w:r w:rsidRPr="00C969C1">
              <w:rPr>
                <w:i/>
                <w:iCs/>
              </w:rPr>
              <w:t>Pertanto</w:t>
            </w:r>
            <w:proofErr w:type="gramEnd"/>
            <w:r w:rsidRPr="00C969C1">
              <w:rPr>
                <w:i/>
                <w:iCs/>
              </w:rPr>
              <w:t xml:space="preserve"> i sei criteri individuate nella sentenza </w:t>
            </w:r>
            <w:proofErr w:type="spellStart"/>
            <w:r w:rsidRPr="00C969C1">
              <w:rPr>
                <w:i/>
                <w:iCs/>
              </w:rPr>
              <w:t>Guja</w:t>
            </w:r>
            <w:proofErr w:type="spellEnd"/>
            <w:r w:rsidRPr="00C969C1">
              <w:rPr>
                <w:i/>
                <w:iCs/>
              </w:rPr>
              <w:t xml:space="preserve"> sono i seguenti:</w:t>
            </w:r>
            <w:r w:rsidRPr="00C969C1">
              <w:rPr>
                <w:i/>
                <w:iCs/>
              </w:rPr>
              <w:br/>
              <w:t>˗l’eventuale disponibilità di canali alternativi di segnalazione;</w:t>
            </w:r>
            <w:r w:rsidRPr="00C969C1">
              <w:rPr>
                <w:i/>
                <w:iCs/>
              </w:rPr>
              <w:br/>
              <w:t>˗l’interesse pubblico presentato dalle informazioni divulgate;</w:t>
            </w:r>
            <w:r w:rsidRPr="00C969C1">
              <w:rPr>
                <w:i/>
                <w:iCs/>
              </w:rPr>
              <w:br/>
              <w:t>˗l’autenticità delle informazioni divulgate;</w:t>
            </w:r>
            <w:r w:rsidRPr="00C969C1">
              <w:rPr>
                <w:i/>
                <w:iCs/>
              </w:rPr>
              <w:br/>
              <w:t>˗il danno provocato al datore di lavoro;</w:t>
            </w:r>
            <w:r w:rsidRPr="00C969C1">
              <w:rPr>
                <w:i/>
                <w:iCs/>
              </w:rPr>
              <w:br/>
              <w:t>˗la buona fede dell’autore della segnalazione;</w:t>
            </w:r>
            <w:r w:rsidRPr="00C969C1">
              <w:rPr>
                <w:i/>
                <w:iCs/>
              </w:rPr>
              <w:br/>
              <w:t>˗la severità della sanzione.</w:t>
            </w:r>
            <w:r w:rsidRPr="00C969C1">
              <w:rPr>
                <w:i/>
                <w:iCs/>
              </w:rPr>
              <w:br/>
              <w:t xml:space="preserve">115. Nelle cause successive concernenti la divulgazione di informazioni riservate di cui è stata investita, la Corte ha basato le sue valutazioni su tale insieme di criteri (si vedano, inter alia, </w:t>
            </w:r>
            <w:proofErr w:type="spellStart"/>
            <w:r w:rsidRPr="00C969C1">
              <w:rPr>
                <w:i/>
                <w:iCs/>
              </w:rPr>
              <w:t>Bucur</w:t>
            </w:r>
            <w:proofErr w:type="spellEnd"/>
            <w:r w:rsidRPr="00C969C1">
              <w:rPr>
                <w:i/>
                <w:iCs/>
              </w:rPr>
              <w:t xml:space="preserve"> e Toma, sopra citata, e </w:t>
            </w:r>
            <w:proofErr w:type="spellStart"/>
            <w:r w:rsidRPr="00C969C1">
              <w:rPr>
                <w:i/>
                <w:iCs/>
              </w:rPr>
              <w:t>Gawlik</w:t>
            </w:r>
            <w:proofErr w:type="spellEnd"/>
            <w:r w:rsidRPr="00C969C1">
              <w:rPr>
                <w:i/>
                <w:iCs/>
              </w:rPr>
              <w:t>, sopra citata). Tali criteri sono stati applicati anche a una controversia nata nel contesto di rapporti di lavoro di diritto privato, in cui il datore di lavoro era una società statale che forniva servizi nel campo dell’assistenza istituzionale (si veda Heinisch, sopra citata, §§ 71 92).</w:t>
            </w:r>
            <w:r w:rsidRPr="00C969C1">
              <w:rPr>
                <w:i/>
                <w:iCs/>
              </w:rPr>
              <w:br/>
              <w:t xml:space="preserve">116. Il regime di tutela della libertà di espressione degli autori di segnalazioni di illeciti o irregolarità è suscettibile di essere applicato qualora il dipendente privato o pubblico in questione sia l’unica persona, o faccia parte di un’esigua categoria di persone, a conoscenza di quanto accade al lavoro e sia pertanto la persona più idonea ad agire nel pubblico interesse, avvertendo il datore di lavoro o l’opinione pubblica (si vedano </w:t>
            </w:r>
            <w:proofErr w:type="spellStart"/>
            <w:r w:rsidRPr="00C969C1">
              <w:rPr>
                <w:i/>
                <w:iCs/>
              </w:rPr>
              <w:t>Guja</w:t>
            </w:r>
            <w:proofErr w:type="spellEnd"/>
            <w:r w:rsidRPr="00C969C1">
              <w:rPr>
                <w:i/>
                <w:iCs/>
              </w:rPr>
              <w:t xml:space="preserve">, sopra citata, § 72, e Heinisch, sopra citata, § 63). Cionondimeno, i dipendenti hanno verso il loro datore di lavoro un obbligo di lealtà, riserbo e discrezione (si veda, per esempio, Heinisch, sopra citata, § 64), il che implica che occorre tenere conto, nella ricerca del giusto equilibrio, dei limiti del diritto alla libertà di espressione e dei diritti e </w:t>
            </w:r>
            <w:r w:rsidRPr="00C969C1">
              <w:rPr>
                <w:i/>
                <w:iCs/>
              </w:rPr>
              <w:lastRenderedPageBreak/>
              <w:t xml:space="preserve">obblighi reciproci propri dei contratti di lavoro e dell’ambiente professionale (si vedano, tra gli altri precedenti, </w:t>
            </w:r>
            <w:proofErr w:type="spellStart"/>
            <w:r w:rsidRPr="00C969C1">
              <w:rPr>
                <w:i/>
                <w:iCs/>
              </w:rPr>
              <w:t>Palomo</w:t>
            </w:r>
            <w:proofErr w:type="spellEnd"/>
            <w:r w:rsidRPr="00C969C1">
              <w:rPr>
                <w:i/>
                <w:iCs/>
              </w:rPr>
              <w:t xml:space="preserve"> Sánchez e altri, sopra citata, § 74, e </w:t>
            </w:r>
            <w:proofErr w:type="spellStart"/>
            <w:r w:rsidRPr="00C969C1">
              <w:rPr>
                <w:i/>
                <w:iCs/>
              </w:rPr>
              <w:t>Rubins</w:t>
            </w:r>
            <w:proofErr w:type="spellEnd"/>
            <w:r w:rsidRPr="00C969C1">
              <w:rPr>
                <w:i/>
                <w:iCs/>
              </w:rPr>
              <w:t xml:space="preserve"> c. Lettonia, n. 79040/12, § 78, 13 gennaio 2015).</w:t>
            </w:r>
            <w:r w:rsidRPr="00C969C1">
              <w:rPr>
                <w:i/>
                <w:iCs/>
              </w:rPr>
              <w:br/>
              <w:t xml:space="preserve">117. Indubbiamente, la reciproca fiducia e la buona fede che dovrebbero prevalere nell’ambito di un contratto di lavoro non implicano un dovere assoluto di lealtà verso il datore di lavoro o un dovere di discrezione tale da assoggettare il lavoratore agli interessi del datore di lavoro. Cionondimeno, il dovere di lealtà, riserbo e discrezione costituisce una componente essenziale di tale regime di protezione speciale (si veda Heinisch, sopra citata, § 64). Quando non sorgono questioni di lealtà, riserbo e discrezione, la Corte non esamina le problematiche che svolgono un ruolo centrale nella giurisprudenza sulla segnalazione di illeciti o irregolarità. In simili casi essa non è tenuta a verificare l’esistenza di canali alternativi o altri mezzi efficaci con i quali i ricorrenti potevano porre rimedio all’asserito atto illecito (per esempio, la denuncia al proprio superiore o a un’altra autorità od organo competenti) che essi intendevano portare alla luce (si veda </w:t>
            </w:r>
            <w:proofErr w:type="spellStart"/>
            <w:r w:rsidRPr="00C969C1">
              <w:rPr>
                <w:i/>
                <w:iCs/>
              </w:rPr>
              <w:t>Medžlis</w:t>
            </w:r>
            <w:proofErr w:type="spellEnd"/>
            <w:r w:rsidRPr="00C969C1">
              <w:rPr>
                <w:i/>
                <w:iCs/>
              </w:rPr>
              <w:t xml:space="preserve"> </w:t>
            </w:r>
            <w:proofErr w:type="spellStart"/>
            <w:r w:rsidRPr="00C969C1">
              <w:rPr>
                <w:i/>
                <w:iCs/>
              </w:rPr>
              <w:t>Islamske</w:t>
            </w:r>
            <w:proofErr w:type="spellEnd"/>
            <w:r w:rsidRPr="00C969C1">
              <w:rPr>
                <w:i/>
                <w:iCs/>
              </w:rPr>
              <w:t xml:space="preserve"> </w:t>
            </w:r>
            <w:proofErr w:type="spellStart"/>
            <w:r w:rsidRPr="00C969C1">
              <w:rPr>
                <w:i/>
                <w:iCs/>
              </w:rPr>
              <w:t>Zajednice</w:t>
            </w:r>
            <w:proofErr w:type="spellEnd"/>
            <w:r w:rsidRPr="00C969C1">
              <w:rPr>
                <w:i/>
                <w:iCs/>
              </w:rPr>
              <w:t xml:space="preserve"> </w:t>
            </w:r>
            <w:proofErr w:type="spellStart"/>
            <w:r w:rsidRPr="00C969C1">
              <w:rPr>
                <w:i/>
                <w:iCs/>
              </w:rPr>
              <w:t>Brčkoe</w:t>
            </w:r>
            <w:proofErr w:type="spellEnd"/>
            <w:r w:rsidRPr="00C969C1">
              <w:rPr>
                <w:i/>
                <w:iCs/>
              </w:rPr>
              <w:t xml:space="preserve"> altri, sopra citata, § 80).</w:t>
            </w:r>
            <w:r w:rsidRPr="00C969C1">
              <w:rPr>
                <w:i/>
                <w:iCs/>
              </w:rPr>
              <w:br/>
              <w:t xml:space="preserve">118. La Corte ha inoltre ritenuto che le rivelazioni effettuate da un dipendente pubblico che non aveva un accesso privilegiato o esclusivo o una conoscenza diretta delle informazioni, che non appariva vincolato da un obbligo di segretezza o discrezione in ordine alle sue mansioni lavorative e che, a quanto risultava, non aveva subito conseguenze sul luogo di lavoro a seguito delle rivelazioni in questione, non potessero costituire una segnalazione di illeciti o irregolarità (si veda </w:t>
            </w:r>
            <w:proofErr w:type="spellStart"/>
            <w:r w:rsidRPr="00C969C1">
              <w:rPr>
                <w:i/>
                <w:iCs/>
              </w:rPr>
              <w:t>Wojczuk</w:t>
            </w:r>
            <w:proofErr w:type="spellEnd"/>
            <w:r w:rsidRPr="00C969C1">
              <w:rPr>
                <w:i/>
                <w:iCs/>
              </w:rPr>
              <w:t xml:space="preserve"> c. Polonia, n. 52969/13, §§ 85-88, 9 dicembre 2021).</w:t>
            </w:r>
            <w:r w:rsidRPr="00C969C1">
              <w:rPr>
                <w:i/>
                <w:iCs/>
              </w:rPr>
              <w:br/>
              <w:t xml:space="preserve">119. In linea con la Raccomandazione (2014)7 del Comitato dei ministri sulla protezione degli informatori (principio 3 e memorandum esplicativo, § 31; si veda il paragrafo 57 </w:t>
            </w:r>
            <w:proofErr w:type="spellStart"/>
            <w:r w:rsidRPr="00C969C1">
              <w:rPr>
                <w:i/>
                <w:iCs/>
              </w:rPr>
              <w:t>supra</w:t>
            </w:r>
            <w:proofErr w:type="spellEnd"/>
            <w:r w:rsidRPr="00C969C1">
              <w:rPr>
                <w:i/>
                <w:iCs/>
              </w:rPr>
              <w:t>), la Corte ritiene che sia determinante il rapporto lavorativo de facto dell’autore della segnalazione piuttosto che il suo status giuridico specifico (per esempio dipendente). La protezione di cui godono gli autori di segnalazioni di illeciti o irregolarità ai sensi dell’articolo 10 della Convenzione è basata sulla necessità di tenere conto delle caratteristiche inerenti all’esistenza di un rapporto di lavoro: da un lato il dovere di lealtà, riserbo e discrezione insito nel rapporto di subordinazione che ne deriva e, se del caso, l’obbligo di osservanza dei doveri di segretezza previsti dalla legge; dall’altro la posizione di vulnerabilità economica rispetto alla persona, all’istituzione pubblica o all’impresa da cui gli autori delle segnalazioni dipendono per il lavoro e il rischio di subire ritorsioni da parte di queste ultime.</w:t>
            </w:r>
            <w:r w:rsidRPr="00C969C1">
              <w:rPr>
                <w:i/>
                <w:iCs/>
              </w:rPr>
              <w:br/>
              <w:t xml:space="preserve">(b)I criteri </w:t>
            </w:r>
            <w:proofErr w:type="spellStart"/>
            <w:r w:rsidRPr="00C969C1">
              <w:rPr>
                <w:i/>
                <w:iCs/>
              </w:rPr>
              <w:t>Guja</w:t>
            </w:r>
            <w:proofErr w:type="spellEnd"/>
            <w:r w:rsidRPr="00C969C1">
              <w:rPr>
                <w:i/>
                <w:iCs/>
              </w:rPr>
              <w:t xml:space="preserve"> e le modalità della loro applicazione</w:t>
            </w:r>
            <w:r w:rsidRPr="00C969C1">
              <w:rPr>
                <w:i/>
                <w:iCs/>
              </w:rPr>
              <w:br/>
              <w:t xml:space="preserve">120. La Corte, che attribuisce importanza alla stabilità e alla prevedibilità della sua giurisprudenza in termini di certezza giuridica, a partire dalla sentenza </w:t>
            </w:r>
            <w:proofErr w:type="spellStart"/>
            <w:r w:rsidRPr="00C969C1">
              <w:rPr>
                <w:i/>
                <w:iCs/>
              </w:rPr>
              <w:t>Guja</w:t>
            </w:r>
            <w:proofErr w:type="spellEnd"/>
            <w:r w:rsidRPr="00C969C1">
              <w:rPr>
                <w:i/>
                <w:iCs/>
              </w:rPr>
              <w:t xml:space="preserve"> ha applicato con costanza i criteri che le consentono di valutare se e in quale misura una persona che rivela informazioni riservate ottenute nell’ambito di un rapporto di lavoro possa invocare la protezione dell’articolo 10 della Convenzione. Cionondimeno la Corte è perfettamente consapevole degli sviluppi intercorsi dopo l’adozione della sentenza </w:t>
            </w:r>
            <w:proofErr w:type="spellStart"/>
            <w:r w:rsidRPr="00C969C1">
              <w:rPr>
                <w:i/>
                <w:iCs/>
              </w:rPr>
              <w:t>Guja</w:t>
            </w:r>
            <w:proofErr w:type="spellEnd"/>
            <w:r w:rsidRPr="00C969C1">
              <w:rPr>
                <w:i/>
                <w:iCs/>
              </w:rPr>
              <w:t xml:space="preserve"> nel 2008, sia che si tratti della posizione che occupano attualmente gli autori di segnalazioni di illeciti o irregolarità nelle società democratiche e del ruolo di primo piano che possono svolgere portando alla luce informazioni di interesse pubblico, o che si tratti dell’evoluzione del quadro giuridico europeo e internazionale finalizzato alla tutela degli autori di </w:t>
            </w:r>
            <w:r w:rsidRPr="00C969C1">
              <w:rPr>
                <w:i/>
                <w:iCs/>
              </w:rPr>
              <w:lastRenderedPageBreak/>
              <w:t xml:space="preserve">segnalazioni (si vedano i paragrafi 54-58 </w:t>
            </w:r>
            <w:proofErr w:type="spellStart"/>
            <w:r w:rsidRPr="00C969C1">
              <w:rPr>
                <w:i/>
                <w:iCs/>
              </w:rPr>
              <w:t>supra</w:t>
            </w:r>
            <w:proofErr w:type="spellEnd"/>
            <w:r w:rsidRPr="00C969C1">
              <w:rPr>
                <w:i/>
                <w:iCs/>
              </w:rPr>
              <w:t>). Di conseguenza ritiene opportuno cogliere l’occasione offerta dal rinvio dinanzi alla Grande Camera della presente causa per confermare e consolidare i principi stabiliti dalla sua giurisprudenza in materia di protezione degli autori di segnalazioni di illeciti o irregolarità, perfezionando i criteri per la loro applicazione alla luce dell’attuale contesto europeo e internazionale.</w:t>
            </w:r>
            <w:r w:rsidRPr="00C969C1">
              <w:rPr>
                <w:i/>
                <w:iCs/>
              </w:rPr>
              <w:br/>
              <w:t>(i)I canali utilizzati per la divulgazione</w:t>
            </w:r>
            <w:r w:rsidRPr="00C969C1">
              <w:rPr>
                <w:i/>
                <w:iCs/>
              </w:rPr>
              <w:br/>
              <w:t xml:space="preserve">121. Il primo criterio riguarda il canale di segnalazione o i canali utilizzati per lanciare l’allarme. In numerose occasioni dopo la sentenza </w:t>
            </w:r>
            <w:proofErr w:type="spellStart"/>
            <w:r w:rsidRPr="00C969C1">
              <w:rPr>
                <w:i/>
                <w:iCs/>
              </w:rPr>
              <w:t>Guja</w:t>
            </w:r>
            <w:proofErr w:type="spellEnd"/>
            <w:r w:rsidRPr="00C969C1">
              <w:rPr>
                <w:i/>
                <w:iCs/>
              </w:rPr>
              <w:t xml:space="preserve">, la Corte ha avuto modo di sottolineare che occorre privilegiare i canali di segnalazione interni. La segnalazione deve essere rivolta, in primo luogo, nella misura del possibile, al superiore della persona o un’altra autorità o organo competenti. “Soltanto qualora ciò sia chiaramente impraticabile, le informazioni possono, in ultima istanza, essere divulgate al pubblico (si veda </w:t>
            </w:r>
            <w:proofErr w:type="spellStart"/>
            <w:r w:rsidRPr="00C969C1">
              <w:rPr>
                <w:i/>
                <w:iCs/>
              </w:rPr>
              <w:t>Guja</w:t>
            </w:r>
            <w:proofErr w:type="spellEnd"/>
            <w:r w:rsidRPr="00C969C1">
              <w:rPr>
                <w:i/>
                <w:iCs/>
              </w:rPr>
              <w:t xml:space="preserve">, sopra citata, § 73). Il canale gerarchico interno è, in linea generale, il mezzo migliore per conciliare il dovere di lealtà dei dipendenti e l’interesse pubblico cui giovano le rivelazioni. La Corte, pertanto, ha ritenuto che non si trattasse di segnalazione di illeciti o irregolarità nel caso in cui il ricorrente non aveva segnalato la questione ai suoi superiori, pur essendo a conoscenza dell’esistenza di canali interni di denuncia, e non aveva fornito spiegazioni convincenti in proposito (si vedano </w:t>
            </w:r>
            <w:proofErr w:type="spellStart"/>
            <w:r w:rsidRPr="00C969C1">
              <w:rPr>
                <w:i/>
                <w:iCs/>
              </w:rPr>
              <w:t>Bathellier</w:t>
            </w:r>
            <w:proofErr w:type="spellEnd"/>
            <w:r w:rsidRPr="00C969C1">
              <w:rPr>
                <w:i/>
                <w:iCs/>
              </w:rPr>
              <w:t xml:space="preserve"> c. Francia (</w:t>
            </w:r>
            <w:proofErr w:type="spellStart"/>
            <w:r w:rsidRPr="00C969C1">
              <w:rPr>
                <w:i/>
                <w:iCs/>
              </w:rPr>
              <w:t>dec</w:t>
            </w:r>
            <w:proofErr w:type="spellEnd"/>
            <w:r w:rsidRPr="00C969C1">
              <w:rPr>
                <w:i/>
                <w:iCs/>
              </w:rPr>
              <w:t xml:space="preserve">.), n. 49001/07, 12 ottobre 2010, e </w:t>
            </w:r>
            <w:proofErr w:type="spellStart"/>
            <w:r w:rsidRPr="00C969C1">
              <w:rPr>
                <w:i/>
                <w:iCs/>
              </w:rPr>
              <w:t>Stanciulescu</w:t>
            </w:r>
            <w:proofErr w:type="spellEnd"/>
            <w:r w:rsidRPr="00C969C1">
              <w:rPr>
                <w:i/>
                <w:iCs/>
              </w:rPr>
              <w:t xml:space="preserve"> c. Romania (n. 2) (</w:t>
            </w:r>
            <w:proofErr w:type="spellStart"/>
            <w:r w:rsidRPr="00C969C1">
              <w:rPr>
                <w:i/>
                <w:iCs/>
              </w:rPr>
              <w:t>dec</w:t>
            </w:r>
            <w:proofErr w:type="spellEnd"/>
            <w:r w:rsidRPr="00C969C1">
              <w:rPr>
                <w:i/>
                <w:iCs/>
              </w:rPr>
              <w:t>.), n. 14621/06, 22 novembre 2011).</w:t>
            </w:r>
            <w:r w:rsidRPr="00C969C1">
              <w:rPr>
                <w:i/>
                <w:iCs/>
              </w:rPr>
              <w:br/>
              <w:t xml:space="preserve">122. </w:t>
            </w:r>
            <w:proofErr w:type="gramStart"/>
            <w:r w:rsidRPr="00C969C1">
              <w:rPr>
                <w:i/>
                <w:iCs/>
              </w:rPr>
              <w:t>Tuttavia</w:t>
            </w:r>
            <w:proofErr w:type="gramEnd"/>
            <w:r w:rsidRPr="00C969C1">
              <w:rPr>
                <w:i/>
                <w:iCs/>
              </w:rPr>
              <w:t xml:space="preserve"> tale ordine di priorità istituito tra canali di segnalazione interni ed esterni non è assoluto nella giurisprudenza della Corte. I meccanismi interni di denuncia devono esistere e funzionare adeguatamente (si veda Heinisch, sopra citata, § 73). La Corte ha ammesso che certe circostanze possono giustificare il ricorso diretto alla “segnalazione esterna”, in particolare qualora il canale di segnalazione interna sia inaffidabile o inefficace (si vedano </w:t>
            </w:r>
            <w:proofErr w:type="spellStart"/>
            <w:r w:rsidRPr="00C969C1">
              <w:rPr>
                <w:i/>
                <w:iCs/>
              </w:rPr>
              <w:t>Guja</w:t>
            </w:r>
            <w:proofErr w:type="spellEnd"/>
            <w:r w:rsidRPr="00C969C1">
              <w:rPr>
                <w:i/>
                <w:iCs/>
              </w:rPr>
              <w:t>, sopra citata, §§ 82-83, e Heinisch, sopra citata, § 74), qualora sia probabile che l’autore della segnalazione si esponga a ritorsioni, o qualora le informazioni che egli intende divulgare riguardino il fulcro stesso delle attività del datore di lavoro in questione.</w:t>
            </w:r>
            <w:r w:rsidRPr="00C969C1">
              <w:rPr>
                <w:i/>
                <w:iCs/>
              </w:rPr>
              <w:br/>
              <w:t xml:space="preserve">123. La Corte osserva inoltre che nella sentenza </w:t>
            </w:r>
            <w:proofErr w:type="spellStart"/>
            <w:r w:rsidRPr="00C969C1">
              <w:rPr>
                <w:i/>
                <w:iCs/>
              </w:rPr>
              <w:t>Gawlik</w:t>
            </w:r>
            <w:proofErr w:type="spellEnd"/>
            <w:r w:rsidRPr="00C969C1">
              <w:rPr>
                <w:i/>
                <w:iCs/>
              </w:rPr>
              <w:t xml:space="preserve"> (sopra citata, § 82) essa ha lasciato indeterminata la questione di sapere se il ricorrente fosse o meno tenuto ad utilizzare in prima battuta tutti i canali di segnalazione interni, rinviando in proposito ai principi guida contenuti nell’appendice alla raccomandazione (2014)7 (si veda il paragrafo 57 </w:t>
            </w:r>
            <w:proofErr w:type="spellStart"/>
            <w:r w:rsidRPr="00C969C1">
              <w:rPr>
                <w:i/>
                <w:iCs/>
              </w:rPr>
              <w:t>supra</w:t>
            </w:r>
            <w:proofErr w:type="spellEnd"/>
            <w:r w:rsidRPr="00C969C1">
              <w:rPr>
                <w:i/>
                <w:iCs/>
              </w:rPr>
              <w:t xml:space="preserve">) che non stabiliscono un ordine di priorità tra i diversi canali di segnalazione e divulgazione. A tale riguardo la Corte rinvia al testo della raccomandazione che dichiara che “le circostanze specifiche di ciascun caso determinano quale sia il canale più idoneo” (si veda il paragrafo 57 </w:t>
            </w:r>
            <w:proofErr w:type="spellStart"/>
            <w:r w:rsidRPr="00C969C1">
              <w:rPr>
                <w:i/>
                <w:iCs/>
              </w:rPr>
              <w:t>supra</w:t>
            </w:r>
            <w:proofErr w:type="spellEnd"/>
            <w:r w:rsidRPr="00C969C1">
              <w:rPr>
                <w:i/>
                <w:iCs/>
              </w:rPr>
              <w:t>) e sottolinea che il criterio riguardante il canale di segnalazione deve essere valutato alla luce delle circostanze di ciascuna causa.</w:t>
            </w:r>
            <w:r w:rsidRPr="00C969C1">
              <w:rPr>
                <w:i/>
                <w:iCs/>
              </w:rPr>
              <w:br/>
            </w:r>
            <w:r w:rsidRPr="00C969C1">
              <w:rPr>
                <w:i/>
                <w:iCs/>
              </w:rPr>
              <w:br/>
              <w:t>(ii)L’autenticità delle informazioni divulgate</w:t>
            </w:r>
            <w:r w:rsidRPr="00C969C1">
              <w:rPr>
                <w:i/>
                <w:iCs/>
              </w:rPr>
              <w:br/>
              <w:t xml:space="preserve">124. L’autenticità delle informazioni divulgate è un elemento essenziale per valutare la necessità dell’ingerenza nella libertà di espressione dell’autore della segnalazione. L’esercizio della libertà di espressione comporta “doveri e responsabilità” e “chiunque decida di divulgare informazioni deve verificare attentamente, nella misura in cui le circostanze lo consentono, la loro accuratezza e </w:t>
            </w:r>
            <w:r w:rsidRPr="00C969C1">
              <w:rPr>
                <w:i/>
                <w:iCs/>
              </w:rPr>
              <w:lastRenderedPageBreak/>
              <w:t xml:space="preserve">attendibilità” (si veda </w:t>
            </w:r>
            <w:proofErr w:type="spellStart"/>
            <w:r w:rsidRPr="00C969C1">
              <w:rPr>
                <w:i/>
                <w:iCs/>
              </w:rPr>
              <w:t>Guja</w:t>
            </w:r>
            <w:proofErr w:type="spellEnd"/>
            <w:r w:rsidRPr="00C969C1">
              <w:rPr>
                <w:i/>
                <w:iCs/>
              </w:rPr>
              <w:t>, sopra citata, § 75).</w:t>
            </w:r>
            <w:r w:rsidRPr="00C969C1">
              <w:rPr>
                <w:i/>
                <w:iCs/>
              </w:rPr>
              <w:br/>
              <w:t xml:space="preserve">125. Non si può tuttavia pretendere che l’autore della segnalazione, al momento della segnalazione, accerti l’autenticità delle informazioni divulgate. A tale proposito la Corte rinvia al principio indicato dal memorandum esplicativo della raccomandazione (2014)7 (si veda il paragrafo 57 </w:t>
            </w:r>
            <w:proofErr w:type="spellStart"/>
            <w:r w:rsidRPr="00C969C1">
              <w:rPr>
                <w:i/>
                <w:iCs/>
              </w:rPr>
              <w:t>supra</w:t>
            </w:r>
            <w:proofErr w:type="spellEnd"/>
            <w:r w:rsidRPr="00C969C1">
              <w:rPr>
                <w:i/>
                <w:iCs/>
              </w:rPr>
              <w:t xml:space="preserve">) secondo il quale “anche qualora una persona possa avere motivo di ritenere che esista un problema che potrebbe essere grave, raramente ella è in grado di avere il quadro completo. È pertanto inevitabile (…) che sia possibile che la successiva indagine sulla segnalazione o la rivelazione dimostri che il suo autore si era sbagliato (si veda il memorandum esplicativo, appendice § 85). Allo stesso modo essa riconosce, come dichiarato dal relatore speciale dell’ONU, che “Gli autori di segnalazioni di illeciti o irregolarità che, sulla base di una ragionevole convinzione, riferiscono informazioni che poi risultano inesatte, dovrebbero cionondimeno essere protetti dalle ritorsioni” (si veda il paragrafo 54 </w:t>
            </w:r>
            <w:proofErr w:type="spellStart"/>
            <w:r w:rsidRPr="00C969C1">
              <w:rPr>
                <w:i/>
                <w:iCs/>
              </w:rPr>
              <w:t>supra</w:t>
            </w:r>
            <w:proofErr w:type="spellEnd"/>
            <w:r w:rsidRPr="00C969C1">
              <w:rPr>
                <w:i/>
                <w:iCs/>
              </w:rPr>
              <w:t>). In tali circostanze appare auspicabile che la persona in questione non perda il beneficio della tutela accordata agli autori di segnalazioni di illeciti o irregolarità, fatto salvo il rispetto degli altri requisiti necessari per chiedere tale protezione.</w:t>
            </w:r>
            <w:r w:rsidRPr="00C969C1">
              <w:rPr>
                <w:i/>
                <w:iCs/>
              </w:rPr>
              <w:br/>
              <w:t xml:space="preserve">126. Qualora l’autore di una segnalazione abbia diligentemente cercato di verificare, nella misura del possibile, l’autenticità delle informazioni divulgate, non gli si può negare la protezione garantita dall’articolo 10 della Convenzione per il solo motivo che le informazioni si sono poi dimostrate inesatte. Quando la Corte valuta l’autenticità dell’informazione, spesso congiuntamente al criterio della buona fede (si veda il paragrafo 129 infra), essa fa riferimento al principio enunciato nella risoluzione 1729 (2010) dell’Assemblea parlamentare del Consiglio d’Europa (si veda il paragrafo 55 </w:t>
            </w:r>
            <w:proofErr w:type="spellStart"/>
            <w:r w:rsidRPr="00C969C1">
              <w:rPr>
                <w:i/>
                <w:iCs/>
              </w:rPr>
              <w:t>supra</w:t>
            </w:r>
            <w:proofErr w:type="spellEnd"/>
            <w:r w:rsidRPr="00C969C1">
              <w:rPr>
                <w:i/>
                <w:iCs/>
              </w:rPr>
              <w:t xml:space="preserve">), secondo il quale “si ritiene che ciascun informatore abbia agito in buona fede purché avesse motivi ragionevoli di credere che le informazioni divulgate fossero vere, anche qualora in seguito tale convinzione si riveli errata, e purché egli non perseguisse fini illeciti o contrari all’etica” (si vedano </w:t>
            </w:r>
            <w:proofErr w:type="spellStart"/>
            <w:r w:rsidRPr="00C969C1">
              <w:rPr>
                <w:i/>
                <w:iCs/>
              </w:rPr>
              <w:t>Bucur</w:t>
            </w:r>
            <w:proofErr w:type="spellEnd"/>
            <w:r w:rsidRPr="00C969C1">
              <w:rPr>
                <w:i/>
                <w:iCs/>
              </w:rPr>
              <w:t xml:space="preserve"> e Toma, sopra citata, § 107, e </w:t>
            </w:r>
            <w:proofErr w:type="spellStart"/>
            <w:r w:rsidRPr="00C969C1">
              <w:rPr>
                <w:i/>
                <w:iCs/>
              </w:rPr>
              <w:t>Gawlik</w:t>
            </w:r>
            <w:proofErr w:type="spellEnd"/>
            <w:r w:rsidRPr="00C969C1">
              <w:rPr>
                <w:i/>
                <w:iCs/>
              </w:rPr>
              <w:t>, sopra citata, § 76).</w:t>
            </w:r>
            <w:r w:rsidRPr="00C969C1">
              <w:rPr>
                <w:i/>
                <w:iCs/>
              </w:rPr>
              <w:br/>
              <w:t xml:space="preserve">127. A tale riguardo la Corte ribadisce che essa ha già ammesso che in determinate circostanze le informazioni divulgate dagli autori di segnalazioni di illeciti o irregolarità possono essere contemplate dal diritto alla libertà di espressione, anche qualora le informazioni in questione si siano successivamente dimostrate false o la loro correttezza non abbia potuto essere dimostrata (si veda </w:t>
            </w:r>
            <w:proofErr w:type="spellStart"/>
            <w:r w:rsidRPr="00C969C1">
              <w:rPr>
                <w:i/>
                <w:iCs/>
              </w:rPr>
              <w:t>Gawlik</w:t>
            </w:r>
            <w:proofErr w:type="spellEnd"/>
            <w:r w:rsidRPr="00C969C1">
              <w:rPr>
                <w:i/>
                <w:iCs/>
              </w:rPr>
              <w:t xml:space="preserve">, sopra citata, §§ 75-76, e i riferimenti ivi citati). Affinché si applichi tale criterio occorre però che l’autore della segnalazione abbia attentamente verificato l’esattezza e l’attendibilità delle informazioni (si veda, a contrario, </w:t>
            </w:r>
            <w:proofErr w:type="spellStart"/>
            <w:r w:rsidRPr="00C969C1">
              <w:rPr>
                <w:i/>
                <w:iCs/>
              </w:rPr>
              <w:t>Gawlik</w:t>
            </w:r>
            <w:proofErr w:type="spellEnd"/>
            <w:r w:rsidRPr="00C969C1">
              <w:rPr>
                <w:i/>
                <w:iCs/>
              </w:rPr>
              <w:t>, sopra citata, §§ 78 e 85). Gli autori di segnalazioni di illeciti o irregolarità che vogliono ottenere la protezione di cui all’articolo 10 della Convenzione devono pertanto comportarsi in modo responsabile cercando di verificare, per quanto possibile, l’autenticità delle informazioni che intendono divulgare prima di renderle pubbliche.</w:t>
            </w:r>
            <w:r w:rsidRPr="00C969C1">
              <w:rPr>
                <w:i/>
                <w:iCs/>
              </w:rPr>
              <w:br/>
              <w:t>(iii)La buona fede</w:t>
            </w:r>
            <w:r w:rsidRPr="00C969C1">
              <w:rPr>
                <w:i/>
                <w:iCs/>
              </w:rPr>
              <w:br/>
              <w:t xml:space="preserve">128. La Corte ribadisce che “le motivazioni soggiacenti agli atti del dipendente che segnala sono un (…) fattore determinante per decidere se una certa rivelazione debba o meno essere tutelata” (si veda </w:t>
            </w:r>
            <w:proofErr w:type="spellStart"/>
            <w:r w:rsidRPr="00C969C1">
              <w:rPr>
                <w:i/>
                <w:iCs/>
              </w:rPr>
              <w:t>Guja</w:t>
            </w:r>
            <w:proofErr w:type="spellEnd"/>
            <w:r w:rsidRPr="00C969C1">
              <w:rPr>
                <w:i/>
                <w:iCs/>
              </w:rPr>
              <w:t>, sopra citata, § 77). Per valutare la buona fede di un ricorrente, la Corte verifica, in ogni causa di cui è investita, se egli fosse motivato da un desiderio di vantaggi personali</w:t>
            </w:r>
            <w:proofErr w:type="gramStart"/>
            <w:r w:rsidRPr="00C969C1">
              <w:rPr>
                <w:i/>
                <w:iCs/>
              </w:rPr>
              <w:t>, nutrisse un rancore personale nei confronti del suo datore di lavoro,</w:t>
            </w:r>
            <w:proofErr w:type="gramEnd"/>
            <w:r w:rsidRPr="00C969C1">
              <w:rPr>
                <w:i/>
                <w:iCs/>
              </w:rPr>
              <w:t xml:space="preserve"> o se sussistesse qualche altro motivo occulto dietro gli atti in questione (si vedano </w:t>
            </w:r>
            <w:proofErr w:type="spellStart"/>
            <w:r w:rsidRPr="00C969C1">
              <w:rPr>
                <w:i/>
                <w:iCs/>
              </w:rPr>
              <w:t>Guja</w:t>
            </w:r>
            <w:proofErr w:type="spellEnd"/>
            <w:r w:rsidRPr="00C969C1">
              <w:rPr>
                <w:i/>
                <w:iCs/>
              </w:rPr>
              <w:t xml:space="preserve">, sopra citata, §§ 77 e 93, e </w:t>
            </w:r>
            <w:proofErr w:type="spellStart"/>
            <w:r w:rsidRPr="00C969C1">
              <w:rPr>
                <w:i/>
                <w:iCs/>
              </w:rPr>
              <w:t>Bucur</w:t>
            </w:r>
            <w:proofErr w:type="spellEnd"/>
            <w:r w:rsidRPr="00C969C1">
              <w:rPr>
                <w:i/>
                <w:iCs/>
              </w:rPr>
              <w:t xml:space="preserve"> e Toma, sopra </w:t>
            </w:r>
            <w:r w:rsidRPr="00C969C1">
              <w:rPr>
                <w:i/>
                <w:iCs/>
              </w:rPr>
              <w:lastRenderedPageBreak/>
              <w:t xml:space="preserve">citata, § 117). Per pervenire alle sue conclusioni la Corte può tenere conto del contenuto delle rivelazioni e riscontrare, a sostegno del riconoscimento della buona fede dell’autore della segnalazione, l’assenza “di forme di attacchi personali gratuiti” (si veda </w:t>
            </w:r>
            <w:proofErr w:type="spellStart"/>
            <w:r w:rsidRPr="00C969C1">
              <w:rPr>
                <w:i/>
                <w:iCs/>
              </w:rPr>
              <w:t>Matúz</w:t>
            </w:r>
            <w:proofErr w:type="spellEnd"/>
            <w:r w:rsidRPr="00C969C1">
              <w:rPr>
                <w:i/>
                <w:iCs/>
              </w:rPr>
              <w:t xml:space="preserve"> c. Ungheria, n. 73571/10, § 46, 21 ottobre 2014). Anche i destinatari della divulgazione entrano nella valutazione della buona fede. La Corte pertanto ha tenuto conto del fatto che la persona in questione “non era ricorsa immediatamente ai media o alla diffusione di volantini per ottenere la massima attenzione pubblica” (si vedano Heinisch, sopra citata, § 86, e, a contrario, </w:t>
            </w:r>
            <w:proofErr w:type="spellStart"/>
            <w:r w:rsidRPr="00C969C1">
              <w:rPr>
                <w:i/>
                <w:iCs/>
              </w:rPr>
              <w:t>Balenović</w:t>
            </w:r>
            <w:proofErr w:type="spellEnd"/>
            <w:r w:rsidRPr="00C969C1">
              <w:rPr>
                <w:i/>
                <w:iCs/>
              </w:rPr>
              <w:t xml:space="preserve"> c. Croazia, (</w:t>
            </w:r>
            <w:proofErr w:type="spellStart"/>
            <w:r w:rsidRPr="00C969C1">
              <w:rPr>
                <w:i/>
                <w:iCs/>
              </w:rPr>
              <w:t>dec</w:t>
            </w:r>
            <w:proofErr w:type="spellEnd"/>
            <w:r w:rsidRPr="00C969C1">
              <w:rPr>
                <w:i/>
                <w:iCs/>
              </w:rPr>
              <w:t xml:space="preserve">.), n. 28369/07, 30 settembre 2010) o aveva tentato prima di porre rimedio alla situazione denunciata all’interno della società stessa (si veda </w:t>
            </w:r>
            <w:proofErr w:type="spellStart"/>
            <w:r w:rsidRPr="00C969C1">
              <w:rPr>
                <w:i/>
                <w:iCs/>
              </w:rPr>
              <w:t>Matúz</w:t>
            </w:r>
            <w:proofErr w:type="spellEnd"/>
            <w:r w:rsidRPr="00C969C1">
              <w:rPr>
                <w:i/>
                <w:iCs/>
              </w:rPr>
              <w:t>, sopra citata, § 47).</w:t>
            </w:r>
            <w:r w:rsidRPr="00C969C1">
              <w:rPr>
                <w:i/>
                <w:iCs/>
              </w:rPr>
              <w:br/>
              <w:t xml:space="preserve">129. Il criterio della buona fede non è senza legami con quello dell’autenticità delle informazioni divulgate. A tale proposito la Corte osserva che nella causa </w:t>
            </w:r>
            <w:proofErr w:type="spellStart"/>
            <w:r w:rsidRPr="00C969C1">
              <w:rPr>
                <w:i/>
                <w:iCs/>
              </w:rPr>
              <w:t>Gawlik</w:t>
            </w:r>
            <w:proofErr w:type="spellEnd"/>
            <w:r w:rsidRPr="00C969C1">
              <w:rPr>
                <w:i/>
                <w:iCs/>
              </w:rPr>
              <w:t xml:space="preserve"> (sopra citata, § 83) essa ha affermato che “non aveva motivo di dubitare che il ricorrente, quando aveva proceduto alla divulgazione, avesse agito nella convinzione che le informazioni fossero vere e che divulgarle fosse nell’interesse pubblico”.</w:t>
            </w:r>
            <w:r w:rsidRPr="00C969C1">
              <w:rPr>
                <w:i/>
                <w:iCs/>
              </w:rPr>
              <w:br/>
              <w:t>130. Per contro, la Corte ha ritenuto che non si potesse ritenere che avesse agito in “buona fede” un ricorrente le cui asserzioni erano fondate su semplici voci prive di elementi che le corroborassero (si veda Soares c. Portogallo, n. 79972/12, § 46, 21 giugno 2016).</w:t>
            </w:r>
            <w:r w:rsidRPr="00C969C1">
              <w:rPr>
                <w:i/>
                <w:iCs/>
              </w:rPr>
              <w:br/>
              <w:t>(iv)L’interesse pubblico che presentano le informazioni divulgate</w:t>
            </w:r>
            <w:r w:rsidRPr="00C969C1">
              <w:rPr>
                <w:i/>
                <w:iCs/>
              </w:rPr>
              <w:br/>
              <w:t xml:space="preserve">131. La Corte osserva anzitutto che, in generale, vi è scarso margine ai sensi dell’articolo 10 § 2 della Convenzione per le limitazioni ai dibattiti su questioni di pubblico interesse (si vedano, inter alia, </w:t>
            </w:r>
            <w:proofErr w:type="spellStart"/>
            <w:r w:rsidRPr="00C969C1">
              <w:rPr>
                <w:i/>
                <w:iCs/>
              </w:rPr>
              <w:t>Sürek</w:t>
            </w:r>
            <w:proofErr w:type="spellEnd"/>
            <w:r w:rsidRPr="00C969C1">
              <w:rPr>
                <w:i/>
                <w:iCs/>
              </w:rPr>
              <w:t xml:space="preserve"> c. Turchia (n. 1) ([GC], n. 26682/95, § 61, CEDU 1999 IV, e Stoll c. Svizzera [GC], n. 69698/01, § 106, CEDU 2007 V).</w:t>
            </w:r>
            <w:r w:rsidRPr="00C969C1">
              <w:rPr>
                <w:i/>
                <w:iCs/>
              </w:rPr>
              <w:br/>
              <w:t xml:space="preserve">132. Secondo la giurisprudenza della Corte, nel contesto generale delle cause che riguardano il diritto alla libertà di espressione e di informazione, l’interesse pubblico concerne questioni che toccano il pubblico in misura tale da suscitare in esso un legittimo interesse al riguardo, che attirano la sua attenzione, o che lo riguardano in misura significativa, in particolare perché incidono sul benessere dei cittadini o sulla vita della collettività. Ciò vale anche per le questioni in grado di suscitare forti controversie, che concernono importanti questioni sociali, o che riguardano un problema che il pubblico è interessato a conoscere (si veda </w:t>
            </w:r>
            <w:proofErr w:type="spellStart"/>
            <w:r w:rsidRPr="00C969C1">
              <w:rPr>
                <w:i/>
                <w:iCs/>
              </w:rPr>
              <w:t>Couderc</w:t>
            </w:r>
            <w:proofErr w:type="spellEnd"/>
            <w:r w:rsidRPr="00C969C1">
              <w:rPr>
                <w:i/>
                <w:iCs/>
              </w:rPr>
              <w:t xml:space="preserve"> e Hachette </w:t>
            </w:r>
            <w:proofErr w:type="spellStart"/>
            <w:r w:rsidRPr="00C969C1">
              <w:rPr>
                <w:i/>
                <w:iCs/>
              </w:rPr>
              <w:t>Filipacchi</w:t>
            </w:r>
            <w:proofErr w:type="spellEnd"/>
            <w:r w:rsidRPr="00C969C1">
              <w:rPr>
                <w:i/>
                <w:iCs/>
              </w:rPr>
              <w:t xml:space="preserve"> </w:t>
            </w:r>
            <w:proofErr w:type="spellStart"/>
            <w:r w:rsidRPr="00C969C1">
              <w:rPr>
                <w:i/>
                <w:iCs/>
              </w:rPr>
              <w:t>Associés</w:t>
            </w:r>
            <w:proofErr w:type="spellEnd"/>
            <w:r w:rsidRPr="00C969C1">
              <w:rPr>
                <w:i/>
                <w:iCs/>
              </w:rPr>
              <w:t xml:space="preserve"> c. Francia [GC], n. 40454/07, §§ 97-103, CEDU 2015 (estratti)). In certi casi, l’interesse che il pubblico può nutrire per particolari informazioni può essere talmente forte da prevalere persino su un dovere di riservatezza imposto dalla legge (si veda </w:t>
            </w:r>
            <w:proofErr w:type="spellStart"/>
            <w:r w:rsidRPr="00C969C1">
              <w:rPr>
                <w:i/>
                <w:iCs/>
              </w:rPr>
              <w:t>Fressoz</w:t>
            </w:r>
            <w:proofErr w:type="spellEnd"/>
            <w:r w:rsidRPr="00C969C1">
              <w:rPr>
                <w:i/>
                <w:iCs/>
              </w:rPr>
              <w:t xml:space="preserve"> e </w:t>
            </w:r>
            <w:proofErr w:type="spellStart"/>
            <w:r w:rsidRPr="00C969C1">
              <w:rPr>
                <w:i/>
                <w:iCs/>
              </w:rPr>
              <w:t>Roire</w:t>
            </w:r>
            <w:proofErr w:type="spellEnd"/>
            <w:r w:rsidRPr="00C969C1">
              <w:rPr>
                <w:i/>
                <w:iCs/>
              </w:rPr>
              <w:t xml:space="preserve"> c. Francia [GC], n. 29183/95, CEDU 1999-I). Così, si è ritenuto che il fatto di autorizzare il pubblico ad accedere a documenti ufficiali, anche a dati fiscali, fosse destinato a garantire la disponibilità di informazioni finalizzate a consentire un dibattito su questioni di pubblico interesse (si veda </w:t>
            </w:r>
            <w:proofErr w:type="spellStart"/>
            <w:r w:rsidRPr="00C969C1">
              <w:rPr>
                <w:i/>
                <w:iCs/>
              </w:rPr>
              <w:t>Satakunnan</w:t>
            </w:r>
            <w:proofErr w:type="spellEnd"/>
            <w:r w:rsidRPr="00C969C1">
              <w:rPr>
                <w:i/>
                <w:iCs/>
              </w:rPr>
              <w:t xml:space="preserve"> </w:t>
            </w:r>
            <w:proofErr w:type="spellStart"/>
            <w:r w:rsidRPr="00C969C1">
              <w:rPr>
                <w:i/>
                <w:iCs/>
              </w:rPr>
              <w:t>Markkinapörssi</w:t>
            </w:r>
            <w:proofErr w:type="spellEnd"/>
            <w:r w:rsidRPr="00C969C1">
              <w:rPr>
                <w:i/>
                <w:iCs/>
              </w:rPr>
              <w:t xml:space="preserve"> </w:t>
            </w:r>
            <w:proofErr w:type="spellStart"/>
            <w:r w:rsidRPr="00C969C1">
              <w:rPr>
                <w:i/>
                <w:iCs/>
              </w:rPr>
              <w:t>Oy</w:t>
            </w:r>
            <w:proofErr w:type="spellEnd"/>
            <w:r w:rsidRPr="00C969C1">
              <w:rPr>
                <w:i/>
                <w:iCs/>
              </w:rPr>
              <w:t xml:space="preserve"> e </w:t>
            </w:r>
            <w:proofErr w:type="spellStart"/>
            <w:r w:rsidRPr="00C969C1">
              <w:rPr>
                <w:i/>
                <w:iCs/>
              </w:rPr>
              <w:t>Satamedia</w:t>
            </w:r>
            <w:proofErr w:type="spellEnd"/>
            <w:r w:rsidRPr="00C969C1">
              <w:rPr>
                <w:i/>
                <w:iCs/>
              </w:rPr>
              <w:t xml:space="preserve"> </w:t>
            </w:r>
            <w:proofErr w:type="spellStart"/>
            <w:r w:rsidRPr="00C969C1">
              <w:rPr>
                <w:i/>
                <w:iCs/>
              </w:rPr>
              <w:t>Oy</w:t>
            </w:r>
            <w:proofErr w:type="spellEnd"/>
            <w:r w:rsidRPr="00C969C1">
              <w:rPr>
                <w:i/>
                <w:iCs/>
              </w:rPr>
              <w:t xml:space="preserve"> c. Finlandia [GC], n. 931/13, § 172, 27 giugno 2017). Ad ogni modo l’interesse pubblico non può essere ridotto alla sete di informazioni sulla vita privata altrui, </w:t>
            </w:r>
            <w:proofErr w:type="spellStart"/>
            <w:r w:rsidRPr="00C969C1">
              <w:rPr>
                <w:i/>
                <w:iCs/>
              </w:rPr>
              <w:t>oal</w:t>
            </w:r>
            <w:proofErr w:type="spellEnd"/>
            <w:r w:rsidRPr="00C969C1">
              <w:rPr>
                <w:i/>
                <w:iCs/>
              </w:rPr>
              <w:t xml:space="preserve"> desiderio di sensazionalismo o addirittura al voyerismo del pubblico (si veda </w:t>
            </w:r>
            <w:proofErr w:type="spellStart"/>
            <w:r w:rsidRPr="00C969C1">
              <w:rPr>
                <w:i/>
                <w:iCs/>
              </w:rPr>
              <w:t>Couderc</w:t>
            </w:r>
            <w:proofErr w:type="spellEnd"/>
            <w:r w:rsidRPr="00C969C1">
              <w:rPr>
                <w:i/>
                <w:iCs/>
              </w:rPr>
              <w:t xml:space="preserve"> e Hachette </w:t>
            </w:r>
            <w:proofErr w:type="spellStart"/>
            <w:r w:rsidRPr="00C969C1">
              <w:rPr>
                <w:i/>
                <w:iCs/>
              </w:rPr>
              <w:t>Filipacchi</w:t>
            </w:r>
            <w:proofErr w:type="spellEnd"/>
            <w:r w:rsidRPr="00C969C1">
              <w:rPr>
                <w:i/>
                <w:iCs/>
              </w:rPr>
              <w:t xml:space="preserve"> </w:t>
            </w:r>
            <w:proofErr w:type="spellStart"/>
            <w:r w:rsidRPr="00C969C1">
              <w:rPr>
                <w:i/>
                <w:iCs/>
              </w:rPr>
              <w:t>Associés</w:t>
            </w:r>
            <w:proofErr w:type="spellEnd"/>
            <w:r w:rsidRPr="00C969C1">
              <w:rPr>
                <w:i/>
                <w:iCs/>
              </w:rPr>
              <w:t>, sopra citata, § 101).</w:t>
            </w:r>
            <w:r w:rsidRPr="00C969C1">
              <w:rPr>
                <w:i/>
                <w:iCs/>
              </w:rPr>
              <w:br/>
              <w:t xml:space="preserve">133. Nel contesto specifico delle cause concernenti la protezione degli autori di segnalazioni di illeciti o irregolarità in cui si tratta di dipendenti che, violando le norme applicabili, divulgano </w:t>
            </w:r>
            <w:r w:rsidRPr="00C969C1">
              <w:rPr>
                <w:i/>
                <w:iCs/>
              </w:rPr>
              <w:lastRenderedPageBreak/>
              <w:t xml:space="preserve">informazioni riservate ottenute nel luogo di lavoro, la Corte si dedica ad accertare se le informazioni divulgate siano di “interesse pubblico” (si veda </w:t>
            </w:r>
            <w:proofErr w:type="spellStart"/>
            <w:r w:rsidRPr="00C969C1">
              <w:rPr>
                <w:i/>
                <w:iCs/>
              </w:rPr>
              <w:t>Guja</w:t>
            </w:r>
            <w:proofErr w:type="spellEnd"/>
            <w:r w:rsidRPr="00C969C1">
              <w:rPr>
                <w:i/>
                <w:iCs/>
              </w:rPr>
              <w:t>, sopra citata, § 74). A tale riguardo la Corte ribadisce che il concetto di interesse pubblico deve essere valutato alla luce tanto del contenuto delle informazioni divulgate quanto del principio della loro divulgazione. In base allo stato attuale della giurisprudenza della Corte, la gamma di informazioni di interesse pubblico che possono rientrare nell’ambito della segnalazione di illeciti o irregolarità è definita in maniera ampia.</w:t>
            </w:r>
            <w:r w:rsidRPr="00C969C1">
              <w:rPr>
                <w:i/>
                <w:iCs/>
              </w:rPr>
              <w:br/>
              <w:t xml:space="preserve">134. In primo luogo, la Corte ha riconosciuto che sono questioni di interesse pubblico le questioni che rientrano nell’ambito del dibattito politico in una società democratica, quali la separazione dei poteri, la condotta inappropriata di esponenti politici di alto livello e l’atteggiamento del governo nei confronti della brutalità della polizia (si veda </w:t>
            </w:r>
            <w:proofErr w:type="spellStart"/>
            <w:r w:rsidRPr="00C969C1">
              <w:rPr>
                <w:i/>
                <w:iCs/>
              </w:rPr>
              <w:t>Guja</w:t>
            </w:r>
            <w:proofErr w:type="spellEnd"/>
            <w:r w:rsidRPr="00C969C1">
              <w:rPr>
                <w:i/>
                <w:iCs/>
              </w:rPr>
              <w:t xml:space="preserve">, sopra citata, § 88). Ha ugualmente riconosciuto il pubblico interesse presentato dalle informazioni relative all’intercettazione delle comunicazioni telefoniche in una società abituata a una politica di stretta sorveglianza da parte dei servizi segreti, che coinvolgeva alti funzionari e colpiva le fondamenta democratiche dello Stato (si veda </w:t>
            </w:r>
            <w:proofErr w:type="spellStart"/>
            <w:r w:rsidRPr="00C969C1">
              <w:rPr>
                <w:i/>
                <w:iCs/>
              </w:rPr>
              <w:t>Bucur</w:t>
            </w:r>
            <w:proofErr w:type="spellEnd"/>
            <w:r w:rsidRPr="00C969C1">
              <w:rPr>
                <w:i/>
                <w:iCs/>
              </w:rPr>
              <w:t xml:space="preserve"> e Toma, sopra citata, § 101), o dai sospetti relativi alla commissione di gravi reati, ovvero l’eutanasia di diversi pazienti, che avevano suscitato dubbi sulle cure mediche somministrate in un ospedale pubblico e sulla loro conformità alla prassi più aggiornata (si veda </w:t>
            </w:r>
            <w:proofErr w:type="spellStart"/>
            <w:r w:rsidRPr="00C969C1">
              <w:rPr>
                <w:i/>
                <w:iCs/>
              </w:rPr>
              <w:t>Gawlik</w:t>
            </w:r>
            <w:proofErr w:type="spellEnd"/>
            <w:r w:rsidRPr="00C969C1">
              <w:rPr>
                <w:i/>
                <w:iCs/>
              </w:rPr>
              <w:t>, sopra citata, § 73). In tali cause le informazioni in questione riguardavano “abusi d’ufficio” “condotte inappropriate” “e condotte o atti illeciti”.</w:t>
            </w:r>
            <w:r w:rsidRPr="00C969C1">
              <w:rPr>
                <w:i/>
                <w:iCs/>
              </w:rPr>
              <w:br/>
              <w:t xml:space="preserve">135. In secondo luogo, la Corte ha riconosciuto l’interesse pubblico presentato dalle informazioni relative alle “carenze” nell’assistenza istituzionale delle persone anziane fornita da una società statale (si veda Heinisch, sopra citata, § 71, in cui le informazioni riguardavano una carenza di personale) o dalle informazioni che segnalavano condotte o prassi “criticabili” o “discutibili” nelle forze armate (si veda </w:t>
            </w:r>
            <w:proofErr w:type="spellStart"/>
            <w:r w:rsidRPr="00C969C1">
              <w:rPr>
                <w:i/>
                <w:iCs/>
              </w:rPr>
              <w:t>Görmüş</w:t>
            </w:r>
            <w:proofErr w:type="spellEnd"/>
            <w:r w:rsidRPr="00C969C1">
              <w:rPr>
                <w:i/>
                <w:iCs/>
              </w:rPr>
              <w:t xml:space="preserve"> e altri c. Turchia, n. 49085/07, §§ 63 e 76, 19 gennaio 2016, in cui le informazioni riguardavamo un sistema di classificazione dei mezzi di comunicazione basato sul trattamento favorevole o meno da loro riservato alle forze armate).</w:t>
            </w:r>
            <w:r w:rsidRPr="00C969C1">
              <w:rPr>
                <w:i/>
                <w:iCs/>
              </w:rPr>
              <w:br/>
              <w:t xml:space="preserve">136. La Corte sottolinea che nelle cause relative a situazioni in cui i dipendenti rivendicano la protezione speciale cui possono aver diritto gli autori di segnalazioni di illeciti o irregolarità dopo aver rivelato informazioni a cui hanno avuto accesso nel luogo di lavoro, nonostante fossero tenuti a rispettare il segreto o un dovere di riservatezza, l’interesse pubblico in grado di giustificare detta rivelazione non può essere esaminato indipendentemente dal dovere di riservatezza o di segretezza violato. Ribadisce inoltre che, ai sensi dell’articolo 10 § 2 della Convenzione, impedire la divulgazione di informazioni riservate è uno dei motivi espressamente previsti che consentono la limitazione dell’esercizio della libertà di espressione. Al riguardo è opportuno osservare che molti segreti sono tutelati dalla legge proprio allo scopo di salvaguardare gli interessi espressamente elencati da tale articolo. È questo il caso della sicurezza nazionale, dell’integrità territoriale o della pubblica sicurezza, della difesa dell’ordine e della prevenzione dei reati, della protezione della salute o della morale, della garanzia dell’autorità e dell’imparzialità del potere giudiziario o della protezione della reputazione o dei diritti altrui. L’esistenza e il contenuto di tali obblighi </w:t>
            </w:r>
            <w:proofErr w:type="gramStart"/>
            <w:r w:rsidRPr="00C969C1">
              <w:rPr>
                <w:i/>
                <w:iCs/>
              </w:rPr>
              <w:t>generalmente rispecchia</w:t>
            </w:r>
            <w:proofErr w:type="gramEnd"/>
            <w:r w:rsidRPr="00C969C1">
              <w:rPr>
                <w:i/>
                <w:iCs/>
              </w:rPr>
              <w:t xml:space="preserve"> la portata e l’importanza del diritto o dell’interesse protetto dal dovere di segretezza previsto dalla legge. Di conseguenza la valutazione dell’interesse pubblico alla </w:t>
            </w:r>
            <w:r w:rsidRPr="00C969C1">
              <w:rPr>
                <w:i/>
                <w:iCs/>
              </w:rPr>
              <w:lastRenderedPageBreak/>
              <w:t>rivelazione delle informazioni tutelate dal dovere di segretezza deve necessariamente tenere conto degli interessi che tale dovere è destinato a proteggere, in particolare nel caso in cui le rivelazioni riguardino informazioni relative non soltanto alle attività del datore di lavoro ma anche a quelle di terzi.</w:t>
            </w:r>
            <w:r w:rsidRPr="00C969C1">
              <w:rPr>
                <w:i/>
                <w:iCs/>
              </w:rPr>
              <w:br/>
              <w:t xml:space="preserve">137. Come risulta così chiaro dalla giurisprudenza della Corte, la gamma di informazioni di pubblico interesse che possono giustificare una segnalazione tutelata dall’articolo 10 comprende la denuncia di un dipendente di atti, prassi o condotte illecite nel luogo di lavoro, oppure di atti, prassi o condotte che benché lecite </w:t>
            </w:r>
            <w:proofErr w:type="gramStart"/>
            <w:r w:rsidRPr="00C969C1">
              <w:rPr>
                <w:i/>
                <w:iCs/>
              </w:rPr>
              <w:t>sono reprensibili</w:t>
            </w:r>
            <w:proofErr w:type="gramEnd"/>
            <w:r w:rsidRPr="00C969C1">
              <w:rPr>
                <w:i/>
                <w:iCs/>
              </w:rPr>
              <w:t xml:space="preserve"> (si vedano i riferimenti giurisprudenziali citati ai paragrafi 133 135 </w:t>
            </w:r>
            <w:proofErr w:type="spellStart"/>
            <w:r w:rsidRPr="00C969C1">
              <w:rPr>
                <w:i/>
                <w:iCs/>
              </w:rPr>
              <w:t>supra</w:t>
            </w:r>
            <w:proofErr w:type="spellEnd"/>
            <w:r w:rsidRPr="00C969C1">
              <w:rPr>
                <w:i/>
                <w:iCs/>
              </w:rPr>
              <w:t>).</w:t>
            </w:r>
            <w:r w:rsidRPr="00C969C1">
              <w:rPr>
                <w:i/>
                <w:iCs/>
              </w:rPr>
              <w:br/>
              <w:t>138. Secondo la Corte, ciò si può applicare anche, qualora sia opportuno, a certe informazioni sul funzionamento delle autorità pubbliche in una società democratica che suscitano un dibattito pubblico da cui deriva una controversia che può far nascere nel pubblico un legittimo interesse a conoscerle per formarsi un’opinione informata sulla loro idoneità o meno a rivelare un danno all’interesse pubblico.</w:t>
            </w:r>
            <w:r w:rsidRPr="00C969C1">
              <w:rPr>
                <w:i/>
                <w:iCs/>
              </w:rPr>
              <w:br/>
              <w:t xml:space="preserve">139. A tale proposito la Corte ribadisce che, in un sistema democratico, gli atti o le omissioni del Governo devono soggiacere all’attento esame non soltanto del potere legislativo e giudiziario ma anche dell’opinione pubblica (si veda </w:t>
            </w:r>
            <w:proofErr w:type="spellStart"/>
            <w:r w:rsidRPr="00C969C1">
              <w:rPr>
                <w:i/>
                <w:iCs/>
              </w:rPr>
              <w:t>Sürek</w:t>
            </w:r>
            <w:proofErr w:type="spellEnd"/>
            <w:r w:rsidRPr="00C969C1">
              <w:rPr>
                <w:i/>
                <w:iCs/>
              </w:rPr>
              <w:t xml:space="preserve"> e </w:t>
            </w:r>
            <w:proofErr w:type="spellStart"/>
            <w:r w:rsidRPr="00C969C1">
              <w:rPr>
                <w:i/>
                <w:iCs/>
              </w:rPr>
              <w:t>Özdemir</w:t>
            </w:r>
            <w:proofErr w:type="spellEnd"/>
            <w:r w:rsidRPr="00C969C1">
              <w:rPr>
                <w:i/>
                <w:iCs/>
              </w:rPr>
              <w:t xml:space="preserve"> c. Turchia [GC], </w:t>
            </w:r>
            <w:proofErr w:type="spellStart"/>
            <w:r w:rsidRPr="00C969C1">
              <w:rPr>
                <w:i/>
                <w:iCs/>
              </w:rPr>
              <w:t>nn</w:t>
            </w:r>
            <w:proofErr w:type="spellEnd"/>
            <w:r w:rsidRPr="00C969C1">
              <w:rPr>
                <w:i/>
                <w:iCs/>
              </w:rPr>
              <w:t>. 23927/94 e 24277/94, § 60, 8 luglio 1999).</w:t>
            </w:r>
            <w:r w:rsidRPr="00C969C1">
              <w:rPr>
                <w:i/>
                <w:iCs/>
              </w:rPr>
              <w:br/>
              <w:t xml:space="preserve">140. La Corte, invero, ritiene utile osservare che l’importanza dell’interesse pubblico presentato dalle informazioni divulgate varia a seconda delle situazioni che si presentano. Al riguardo la Corte reputa che, nel contesto della segnalazione di illeciti o irregolarità, l’interesse pubblico alla divulgazione di informazioni riservate vada decrescendo a seconda di ciò cui si riferiscono le informazioni divulgate: atti o prassi illecite; atti, prassi o condotte reprensibili; o questioni che suscitano un dibattito da cui deriva una controversia sull’esistenza o meno di un danno all’interesse pubblico (si vedano i paragrafi 137-138 </w:t>
            </w:r>
            <w:proofErr w:type="spellStart"/>
            <w:r w:rsidRPr="00C969C1">
              <w:rPr>
                <w:i/>
                <w:iCs/>
              </w:rPr>
              <w:t>supra</w:t>
            </w:r>
            <w:proofErr w:type="spellEnd"/>
            <w:r w:rsidRPr="00C969C1">
              <w:rPr>
                <w:i/>
                <w:iCs/>
              </w:rPr>
              <w:t>).</w:t>
            </w:r>
            <w:r w:rsidRPr="00C969C1">
              <w:rPr>
                <w:i/>
                <w:iCs/>
              </w:rPr>
              <w:br/>
              <w:t xml:space="preserve">141. A giudizio della Corte, le informazioni concernenti atti o prassi illecite rivestono innegabilmente un forte interesse pubblico (si veda, per esempio, </w:t>
            </w:r>
            <w:proofErr w:type="spellStart"/>
            <w:r w:rsidRPr="00C969C1">
              <w:rPr>
                <w:i/>
                <w:iCs/>
              </w:rPr>
              <w:t>Gawlik</w:t>
            </w:r>
            <w:proofErr w:type="spellEnd"/>
            <w:r w:rsidRPr="00C969C1">
              <w:rPr>
                <w:i/>
                <w:iCs/>
              </w:rPr>
              <w:t>, sopra citata, § 73, riguardo al considerevole interesse pubblico presentato da informazioni la cui divulgazione era intesa a impedire la reiterazione di potenziali reati). Anche le informazioni relative ad atti, prassi o condotte che, senza essere di per sé illecite, sono tuttavia reprensibili o controverse possono essere particolarmente importanti (si veda, per esempio, Heinisch, sopra citata, § 71, relativa all’importanza vitale di informazioni riguardanti le carenze nell’assistenza fornita a persone vulnerabili, la cui divulgazione era intesa a prevenire gli abusi in campo sanitario).</w:t>
            </w:r>
            <w:r w:rsidRPr="00C969C1">
              <w:rPr>
                <w:i/>
                <w:iCs/>
              </w:rPr>
              <w:br/>
              <w:t xml:space="preserve">142. Stando così le cose, sebbene le informazioni che possono essere considerate di pubblico interesse riguardano, in linea di massima, autorità od organi pubblici, non si può escludere che esse, in alcuni casi, concernano anche la condotta di privati, quali le società, che inevitabilmente e consapevolmente si espongono a un attento esame dei loro atti (si veda Steel e Morris, sopra citata, § 94), in particolare quando si tratta delle prassi commerciali, delle responsabilità dei loro dirigenti (si veda Petro Carbo </w:t>
            </w:r>
            <w:proofErr w:type="spellStart"/>
            <w:r w:rsidRPr="00C969C1">
              <w:rPr>
                <w:i/>
                <w:iCs/>
              </w:rPr>
              <w:t>Chem</w:t>
            </w:r>
            <w:proofErr w:type="spellEnd"/>
            <w:r w:rsidRPr="00C969C1">
              <w:rPr>
                <w:i/>
                <w:iCs/>
              </w:rPr>
              <w:t xml:space="preserve"> S.E. c. Romania, n. 21768/12, § 43, 30 giugno 2020), dell’inosservanza degli obblighi fiscali (si veda </w:t>
            </w:r>
            <w:proofErr w:type="spellStart"/>
            <w:r w:rsidRPr="00C969C1">
              <w:rPr>
                <w:i/>
                <w:iCs/>
              </w:rPr>
              <w:t>Público</w:t>
            </w:r>
            <w:proofErr w:type="spellEnd"/>
            <w:r w:rsidRPr="00C969C1">
              <w:rPr>
                <w:i/>
                <w:iCs/>
              </w:rPr>
              <w:t xml:space="preserve"> </w:t>
            </w:r>
            <w:proofErr w:type="spellStart"/>
            <w:r w:rsidRPr="00C969C1">
              <w:rPr>
                <w:i/>
                <w:iCs/>
              </w:rPr>
              <w:t>Comunicação</w:t>
            </w:r>
            <w:proofErr w:type="spellEnd"/>
            <w:r w:rsidRPr="00C969C1">
              <w:rPr>
                <w:i/>
                <w:iCs/>
              </w:rPr>
              <w:t xml:space="preserve"> Social, S.A. e altri c. Portogallo, n. 39324/07, § 47, 7 dicembre 2010), o del bene economico in senso lato (si vedano Steel e Morris, </w:t>
            </w:r>
            <w:r w:rsidRPr="00C969C1">
              <w:rPr>
                <w:i/>
                <w:iCs/>
              </w:rPr>
              <w:lastRenderedPageBreak/>
              <w:t>sopra citata, § 94, e Heinisch, sopra citata, § 89).</w:t>
            </w:r>
            <w:r w:rsidRPr="00C969C1">
              <w:rPr>
                <w:i/>
                <w:iCs/>
              </w:rPr>
              <w:br/>
              <w:t>143. La Corte intende inoltre sottolineare che non si può valutare il pubblico interesse presentato dalle informazioni soltanto su scala nazionale. Alcuni tipi di informazioni possono essere di interesse pubblico a livello sopranazionale -europeo o internazionale - o per altri Stati e i loro cittadini.</w:t>
            </w:r>
            <w:r w:rsidRPr="00C969C1">
              <w:rPr>
                <w:i/>
                <w:iCs/>
              </w:rPr>
              <w:br/>
              <w:t xml:space="preserve">144. In conclusione, benché non vi siano dubbi che il pubblico possa essere interessato a un’ampia gamma di argomenti, tale fatto da solo non può giustificare che siano rese pubbliche informazioni riservate su di essi. La questione di sapere se rivelazioni effettuate in violazione del dovere di riservatezza siano utili al pubblico interesse al punto da meritare la protezione speciale cui possono avere diritto gli autori di segnalazioni di illeciti o irregolarità ai sensi dell’articolo 10 della Convenzione, richiede una valutazione che tenga conto delle circostanze di ciascuna causa e del relativo contesto e non già una valutazione in </w:t>
            </w:r>
            <w:proofErr w:type="spellStart"/>
            <w:r w:rsidRPr="00C969C1">
              <w:rPr>
                <w:i/>
                <w:iCs/>
              </w:rPr>
              <w:t>abstracto</w:t>
            </w:r>
            <w:proofErr w:type="spellEnd"/>
            <w:r w:rsidRPr="00C969C1">
              <w:rPr>
                <w:i/>
                <w:iCs/>
              </w:rPr>
              <w:t xml:space="preserve"> (si veda, in un ambito diverso, ovvero il diritto di accesso alle informazioni, Magyar Helsinki </w:t>
            </w:r>
            <w:proofErr w:type="spellStart"/>
            <w:r w:rsidRPr="00C969C1">
              <w:rPr>
                <w:i/>
                <w:iCs/>
              </w:rPr>
              <w:t>Bizottság</w:t>
            </w:r>
            <w:proofErr w:type="spellEnd"/>
            <w:r w:rsidRPr="00C969C1">
              <w:rPr>
                <w:i/>
                <w:iCs/>
              </w:rPr>
              <w:t xml:space="preserve"> c. Ungheria [GC], n. 18030/11, § 162, 8 novembre 2016).</w:t>
            </w:r>
            <w:r w:rsidRPr="00C969C1">
              <w:rPr>
                <w:i/>
                <w:iCs/>
              </w:rPr>
              <w:br/>
              <w:t>(v)Il danno provocato</w:t>
            </w:r>
            <w:r w:rsidRPr="00C969C1">
              <w:rPr>
                <w:i/>
                <w:iCs/>
              </w:rPr>
              <w:br/>
              <w:t xml:space="preserve">145. Ai sensi dell’attuale giurisprudenza della Corte, il danno provocato al datore di lavoro costituisce l’interesse che deve essere ponderato con l’interesse pubblico presentato dalle informazioni divulgate. Così, nella causa </w:t>
            </w:r>
            <w:proofErr w:type="spellStart"/>
            <w:r w:rsidRPr="00C969C1">
              <w:rPr>
                <w:i/>
                <w:iCs/>
              </w:rPr>
              <w:t>Guja</w:t>
            </w:r>
            <w:proofErr w:type="spellEnd"/>
            <w:r w:rsidRPr="00C969C1">
              <w:rPr>
                <w:i/>
                <w:iCs/>
              </w:rPr>
              <w:t xml:space="preserve"> (sopra citata, § 76), la Corte ha affermato che essa doveva valutare “l’eventuale danno subito dall’autorità pubblica a seguito delle rivelazioni in questione ed esaminare se esso prevalga sull’interesse del pubblico a ottenere le informazioni”. A tale riguardo la Corte ha già ammesso che le rivelazioni potevano provocare un danno alla Procura generale compromettendo la fiducia del pubblico nell’indipendenza di tale istituzione (ibid., § 90), o che i servizi segreti potevano subire un danno in quanto il pubblico era portato a dubitare che tali servizi dello Stato rispettassero il principio di legalità (si veda </w:t>
            </w:r>
            <w:proofErr w:type="spellStart"/>
            <w:r w:rsidRPr="00C969C1">
              <w:rPr>
                <w:i/>
                <w:iCs/>
              </w:rPr>
              <w:t>Bucur</w:t>
            </w:r>
            <w:proofErr w:type="spellEnd"/>
            <w:r w:rsidRPr="00C969C1">
              <w:rPr>
                <w:i/>
                <w:iCs/>
              </w:rPr>
              <w:t xml:space="preserve"> e Toma, sopra citata, § 115).</w:t>
            </w:r>
            <w:r w:rsidRPr="00C969C1">
              <w:rPr>
                <w:i/>
                <w:iCs/>
              </w:rPr>
              <w:br/>
              <w:t xml:space="preserve">146. La Corte ha riconosciuto inoltre che alcune rivelazioni potevano ledere la reputazione professionale e gli interessi economici di una società statale (si veda Heinisch, sopra citata, § 88), gli interessi economici e la reputazione di un ospedale, nonché la fiducia del pubblico nella somministrazione delle cure mediche (si veda </w:t>
            </w:r>
            <w:proofErr w:type="spellStart"/>
            <w:r w:rsidRPr="00C969C1">
              <w:rPr>
                <w:i/>
                <w:iCs/>
              </w:rPr>
              <w:t>Gawlik</w:t>
            </w:r>
            <w:proofErr w:type="spellEnd"/>
            <w:r w:rsidRPr="00C969C1">
              <w:rPr>
                <w:i/>
                <w:iCs/>
              </w:rPr>
              <w:t>, sopra citata, § 79) e la reputazione personale e professionale di un membro del personale di tale ospedale (ibid.).</w:t>
            </w:r>
            <w:r w:rsidRPr="00C969C1">
              <w:rPr>
                <w:i/>
                <w:iCs/>
              </w:rPr>
              <w:br/>
              <w:t xml:space="preserve">147. La Corte ribadisce che il criterio del danno provocato al datore di lavoro è stato inizialmente elaborato in relazione alle autorità pubbliche o alle società statali: il danno in questione, al pari dell’interesse alla divulgazione delle informazioni, era perciò di natura pubblica. Sottolinea, però, che la divulgazione di informazioni ottenute nell’ambito di un rapporto di lavoro può incidere anche su interessi privati, per esempio mettendo in discussione le attività di una società o di un datore di lavoro privato e causando loro, e in alcuni casi a terzi, un danno economico e/o reputazionale. La Corte tuttavia ritiene utile aggiungere che essa non esclude la possibilità che tali rivelazioni diano luogo ad altre conseguenze pregiudizievoli colpendo al tempo stesso interessi pubblici quali, in particolare, il bene economico in senso lato (si veda Steel e Morris, sopra citata, § 94), la protezione della proprietà, la preservazione di un segreto tutelato come il segreto fiscale o professionale (si vedano </w:t>
            </w:r>
            <w:proofErr w:type="spellStart"/>
            <w:r w:rsidRPr="00C969C1">
              <w:rPr>
                <w:i/>
                <w:iCs/>
              </w:rPr>
              <w:t>Fressoz</w:t>
            </w:r>
            <w:proofErr w:type="spellEnd"/>
            <w:r w:rsidRPr="00C969C1">
              <w:rPr>
                <w:i/>
                <w:iCs/>
              </w:rPr>
              <w:t xml:space="preserve"> e </w:t>
            </w:r>
            <w:proofErr w:type="spellStart"/>
            <w:r w:rsidRPr="00C969C1">
              <w:rPr>
                <w:i/>
                <w:iCs/>
              </w:rPr>
              <w:t>Roire</w:t>
            </w:r>
            <w:proofErr w:type="spellEnd"/>
            <w:r w:rsidRPr="00C969C1">
              <w:rPr>
                <w:i/>
                <w:iCs/>
              </w:rPr>
              <w:t xml:space="preserve">, sopra citata, § 53, e, </w:t>
            </w:r>
            <w:proofErr w:type="spellStart"/>
            <w:r w:rsidRPr="00C969C1">
              <w:rPr>
                <w:i/>
                <w:iCs/>
              </w:rPr>
              <w:t>mutatis</w:t>
            </w:r>
            <w:proofErr w:type="spellEnd"/>
            <w:r w:rsidRPr="00C969C1">
              <w:rPr>
                <w:i/>
                <w:iCs/>
              </w:rPr>
              <w:t xml:space="preserve"> </w:t>
            </w:r>
            <w:proofErr w:type="spellStart"/>
            <w:r w:rsidRPr="00C969C1">
              <w:rPr>
                <w:i/>
                <w:iCs/>
              </w:rPr>
              <w:t>mutandis</w:t>
            </w:r>
            <w:proofErr w:type="spellEnd"/>
            <w:r w:rsidRPr="00C969C1">
              <w:rPr>
                <w:i/>
                <w:iCs/>
              </w:rPr>
              <w:t>, Stoll, sopra citata, § 115), o la fiducia dei cittadini nell’equità e nella giustizia delle politiche fiscali dello Stato.</w:t>
            </w:r>
            <w:r w:rsidRPr="00C969C1">
              <w:rPr>
                <w:i/>
                <w:iCs/>
              </w:rPr>
              <w:br/>
            </w:r>
            <w:r w:rsidRPr="00C969C1">
              <w:rPr>
                <w:i/>
                <w:iCs/>
              </w:rPr>
              <w:lastRenderedPageBreak/>
              <w:t>148. Date tali circostanze, la Corte ritiene necessario affinare i termini dell’esercizio di bilanciamento che occorre svolgere tra gli interessi concorrenti in gioco: al di là del solo danno provocato al datore di lavoro, quando si valuta la proporzionalità dell’ingerenza nel diritto alla libertà di espressione degli autori di segnalazioni di illeciti o irregolarità tutelati dall’articolo 10 della Convenzione, occorre tenere conto degli effetti lesivi considerati nel loro insieme che le rivelazioni in questione possono verosimilmente comportare.</w:t>
            </w:r>
            <w:r w:rsidRPr="00C969C1">
              <w:rPr>
                <w:i/>
                <w:iCs/>
              </w:rPr>
              <w:br/>
              <w:t>(vi)La severità della sanzione</w:t>
            </w:r>
            <w:r w:rsidRPr="00C969C1">
              <w:rPr>
                <w:i/>
                <w:iCs/>
              </w:rPr>
              <w:br/>
              <w:t xml:space="preserve">149. La Corte osserva anzitutto che le sanzioni nei confronti degli autori di segnalazioni di illeciti o irregolarità possono essere di vario tipo: professionale, disciplinare o penale. In proposito ha già avuto occasione di riconoscere che la destituzione o il licenziamento senza preavviso di un ricorrente costituiscono la sanzione più gravosa prevista dal diritto del lavoro (si veda </w:t>
            </w:r>
            <w:proofErr w:type="spellStart"/>
            <w:r w:rsidRPr="00C969C1">
              <w:rPr>
                <w:i/>
                <w:iCs/>
              </w:rPr>
              <w:t>Gawlik</w:t>
            </w:r>
            <w:proofErr w:type="spellEnd"/>
            <w:r w:rsidRPr="00C969C1">
              <w:rPr>
                <w:i/>
                <w:iCs/>
              </w:rPr>
              <w:t xml:space="preserve">, sopra citata, § 84, e i riferimenti giurisprudenziali ivi contenuti). Essa ha altresì sottolineato che una sanzione di tal genere non soltanto si ripercuote negativamente sulla carriera del ricorrente, ma rischia anche di produrre un effetto dissuasivo sugli altri dipendenti scoraggiandoli dal segnalare condotte improprie, effetto dissuasivo amplificato dal vasto eco mediatico che alcuni casi possono suscitare (si vedano </w:t>
            </w:r>
            <w:proofErr w:type="spellStart"/>
            <w:r w:rsidRPr="00C969C1">
              <w:rPr>
                <w:i/>
                <w:iCs/>
              </w:rPr>
              <w:t>Guja</w:t>
            </w:r>
            <w:proofErr w:type="spellEnd"/>
            <w:r w:rsidRPr="00C969C1">
              <w:rPr>
                <w:i/>
                <w:iCs/>
              </w:rPr>
              <w:t>, sopra citata, § 95, e Heinisch, sopra citata, § 91). Ha sottolineato inoltre che tale effetto dissuasivo agisce a danno della società nel suo insieme (si veda Heinisch, sopra citata, § 91).</w:t>
            </w:r>
            <w:r w:rsidRPr="00C969C1">
              <w:rPr>
                <w:i/>
                <w:iCs/>
              </w:rPr>
              <w:br/>
              <w:t xml:space="preserve">150. Tale osservazione vale anche per l’irrogazione di sanzioni penali. La Corte ha spesso sottolineato, nel contesto generale delle cause relative all’articolo 10 della Convenzione, che l’inflizione di una sanzione penale è una delle più gravi forme di ingerenza nel diritto alla libertà di espressione (si vedano, inter alia, </w:t>
            </w:r>
            <w:proofErr w:type="spellStart"/>
            <w:r w:rsidRPr="00C969C1">
              <w:rPr>
                <w:i/>
                <w:iCs/>
              </w:rPr>
              <w:t>Rouillan</w:t>
            </w:r>
            <w:proofErr w:type="spellEnd"/>
            <w:r w:rsidRPr="00C969C1">
              <w:rPr>
                <w:i/>
                <w:iCs/>
              </w:rPr>
              <w:t xml:space="preserve"> c. Francia, n. 28000/19, § 74, 23 giugno 2022; Z.B. c. Francia, n. 46883/15, § 67, 2 settembre 2021; e </w:t>
            </w:r>
            <w:proofErr w:type="spellStart"/>
            <w:r w:rsidRPr="00C969C1">
              <w:rPr>
                <w:i/>
                <w:iCs/>
              </w:rPr>
              <w:t>Reichman</w:t>
            </w:r>
            <w:proofErr w:type="spellEnd"/>
            <w:r w:rsidRPr="00C969C1">
              <w:rPr>
                <w:i/>
                <w:iCs/>
              </w:rPr>
              <w:t xml:space="preserve"> c. Francia n. 50147/11, § 73, 12 luglio 2016), e che le autorità interne debbono dar prova di moderazione nel far ricorso alla via penale.</w:t>
            </w:r>
            <w:r w:rsidRPr="00C969C1">
              <w:rPr>
                <w:i/>
                <w:iCs/>
              </w:rPr>
              <w:br/>
              <w:t xml:space="preserve">151. Il fatto che una persona sia stata condannata in alcuni casi può essere più importante della levità della pena irrogata (si vedano, per esempio, Stoll, sopra citata, § 154, e </w:t>
            </w:r>
            <w:proofErr w:type="spellStart"/>
            <w:r w:rsidRPr="00C969C1">
              <w:rPr>
                <w:i/>
                <w:iCs/>
              </w:rPr>
              <w:t>Bédat</w:t>
            </w:r>
            <w:proofErr w:type="spellEnd"/>
            <w:r w:rsidRPr="00C969C1">
              <w:rPr>
                <w:i/>
                <w:iCs/>
              </w:rPr>
              <w:t xml:space="preserve"> c. Svizzera [GC], n. 56925/08, § 81, 29 marzo 2016). La Corte indubbiamente non esclude la possibilità che le autorità nazionali facciano ricorso alla via penale senza che la conseguente ingerenza debba essere considerata di per sé contraria all’articolo 10 della Convenzione (si veda, tra gli altri precedenti, </w:t>
            </w:r>
            <w:proofErr w:type="spellStart"/>
            <w:r w:rsidRPr="00C969C1">
              <w:rPr>
                <w:i/>
                <w:iCs/>
              </w:rPr>
              <w:t>Bédat</w:t>
            </w:r>
            <w:proofErr w:type="spellEnd"/>
            <w:r w:rsidRPr="00C969C1">
              <w:rPr>
                <w:i/>
                <w:iCs/>
              </w:rPr>
              <w:t>, sopra citata, § 81).</w:t>
            </w:r>
            <w:r w:rsidRPr="00C969C1">
              <w:rPr>
                <w:i/>
                <w:iCs/>
              </w:rPr>
              <w:br/>
              <w:t xml:space="preserve">152. Nel particolare contesto della segnalazione di illeciti o irregolarità, la Corte ha già avuto occasione di ritenere che l’utilizzo della via penale per punire la divulgazione di informazioni riservate, tenuto conto delle ripercussioni sull’autore della segnalazione, in particolare sulla sua carriera professionale, e dell’effetto dissuasivo sulle altre persone (si vedano, in ordine a una condanna penale con pena detentiva sospesa, </w:t>
            </w:r>
            <w:proofErr w:type="spellStart"/>
            <w:r w:rsidRPr="00C969C1">
              <w:rPr>
                <w:i/>
                <w:iCs/>
              </w:rPr>
              <w:t>Bucur</w:t>
            </w:r>
            <w:proofErr w:type="spellEnd"/>
            <w:r w:rsidRPr="00C969C1">
              <w:rPr>
                <w:i/>
                <w:iCs/>
              </w:rPr>
              <w:t xml:space="preserve"> e Toma, sopra citata, § 119, e </w:t>
            </w:r>
            <w:proofErr w:type="spellStart"/>
            <w:r w:rsidRPr="00C969C1">
              <w:rPr>
                <w:i/>
                <w:iCs/>
              </w:rPr>
              <w:t>Marchenko</w:t>
            </w:r>
            <w:proofErr w:type="spellEnd"/>
            <w:r w:rsidRPr="00C969C1">
              <w:rPr>
                <w:i/>
                <w:iCs/>
              </w:rPr>
              <w:t xml:space="preserve"> c. Ucraina, n 4063/04, § 53, 19 febbraio 2009), fosse incompatibile con l’esercizio della libertà di espressione. Occorre tuttavia tenere presente che in molti casi, a seconda del contenuto delle rivelazioni e della natura del dovere di riservatezza o segretezza da esse violato, la condotta della persona che chiede la protezione di cui possono beneficiare gli autori di segnalazioni di illeciti o irregolarità può legittimamente costituire reato.</w:t>
            </w:r>
            <w:r w:rsidRPr="00C969C1">
              <w:rPr>
                <w:i/>
                <w:iCs/>
              </w:rPr>
              <w:br/>
              <w:t xml:space="preserve">153. Inoltre, né la lettera dell’articolo 10 della Convenzione né la giurisprudenza della Corte </w:t>
            </w:r>
            <w:r w:rsidRPr="00C969C1">
              <w:rPr>
                <w:i/>
                <w:iCs/>
              </w:rPr>
              <w:lastRenderedPageBreak/>
              <w:t xml:space="preserve">escludono che lo stesso atto possa, se del caso, dare luogo a una combinazione di sanzioni o provocare ripercussioni multiple sul piano professionale, disciplinare, civile o penale. La Corte, pertanto, ha già ammesso che in certe circostanze non si può ritenere che l’effetto cumulativo di una condanna penale o dell’ammontare complessivo delle sanzioni pecuniarie abbia avuto un effetto dissuasivo sulla libertà di espressione (si veda </w:t>
            </w:r>
            <w:proofErr w:type="spellStart"/>
            <w:r w:rsidRPr="00C969C1">
              <w:rPr>
                <w:i/>
                <w:iCs/>
              </w:rPr>
              <w:t>Wojczuk</w:t>
            </w:r>
            <w:proofErr w:type="spellEnd"/>
            <w:r w:rsidRPr="00C969C1">
              <w:rPr>
                <w:i/>
                <w:iCs/>
              </w:rPr>
              <w:t>, sopra citata, § 105).</w:t>
            </w:r>
            <w:r w:rsidRPr="00C969C1">
              <w:rPr>
                <w:i/>
                <w:iCs/>
              </w:rPr>
              <w:br/>
              <w:t xml:space="preserve">154. Risulta tuttavia chiaro dalla giurisprudenza della Corte che la natura e la severità delle sanzioni imposte sono fattori di cui occorre tenere conto quando si valuta la proporzionalità di un’ingerenza nel diritto alla libertà di espressione (si vedano, tra molti altri precedenti, Stoll, sopra citata, § 153, e </w:t>
            </w:r>
            <w:proofErr w:type="spellStart"/>
            <w:r w:rsidRPr="00C969C1">
              <w:rPr>
                <w:i/>
                <w:iCs/>
              </w:rPr>
              <w:t>Bédat</w:t>
            </w:r>
            <w:proofErr w:type="spellEnd"/>
            <w:r w:rsidRPr="00C969C1">
              <w:rPr>
                <w:i/>
                <w:iCs/>
              </w:rPr>
              <w:t>, sopra citata, § 79). Ciò vale anche per l’effetto cumulativo di sanzioni diverse inflitte a un ricorrente (si veda Lewandowska-</w:t>
            </w:r>
            <w:proofErr w:type="spellStart"/>
            <w:r w:rsidRPr="00C969C1">
              <w:rPr>
                <w:i/>
                <w:iCs/>
              </w:rPr>
              <w:t>Malec</w:t>
            </w:r>
            <w:proofErr w:type="spellEnd"/>
            <w:r w:rsidRPr="00C969C1">
              <w:rPr>
                <w:i/>
                <w:iCs/>
              </w:rPr>
              <w:t xml:space="preserve"> c. Polonia, n. 39660/07, § 70, 18 settembre 2012).</w:t>
            </w:r>
            <w:r w:rsidRPr="00C969C1">
              <w:rPr>
                <w:i/>
                <w:iCs/>
              </w:rPr>
              <w:br/>
            </w:r>
            <w:proofErr w:type="gramStart"/>
            <w:r w:rsidRPr="00C969C1">
              <w:rPr>
                <w:i/>
                <w:iCs/>
              </w:rPr>
              <w:t>2.L’applicazione</w:t>
            </w:r>
            <w:proofErr w:type="gramEnd"/>
            <w:r w:rsidRPr="00C969C1">
              <w:rPr>
                <w:i/>
                <w:iCs/>
              </w:rPr>
              <w:t xml:space="preserve"> di tali principi al caso di specie</w:t>
            </w:r>
            <w:r w:rsidRPr="00C969C1">
              <w:rPr>
                <w:i/>
                <w:iCs/>
              </w:rPr>
              <w:br/>
              <w:t>(a)Considerazioni preliminari</w:t>
            </w:r>
            <w:r w:rsidRPr="00C969C1">
              <w:rPr>
                <w:i/>
                <w:iCs/>
              </w:rPr>
              <w:br/>
              <w:t xml:space="preserve">155. La presente causa riguarda la divulgazione da parte del ricorrente, mentre era dipendente di una società privata, di documenti riservati tutelati dal segreto professionale, consistenti in quattrodici dichiarazioni dei redditi di società multinazionali e due lettere di accompagnamento, che egli si era procurato sul luogo di lavoro (si vedano i paragrafi 14 e 23 </w:t>
            </w:r>
            <w:proofErr w:type="spellStart"/>
            <w:r w:rsidRPr="00C969C1">
              <w:rPr>
                <w:i/>
                <w:iCs/>
              </w:rPr>
              <w:t>supra</w:t>
            </w:r>
            <w:proofErr w:type="spellEnd"/>
            <w:r w:rsidRPr="00C969C1">
              <w:rPr>
                <w:i/>
                <w:iCs/>
              </w:rPr>
              <w:t xml:space="preserve">). Essa presenta in particolare le seguenti caratteristiche: da un lato il fatto che il datore di lavoro del ricorrente era un soggetto privato, dall’altro il fatto che l’obbligo di rispettare il segreto professionale stabilito dalla legge si aggiungeva al dovere di lealtà che generalmente regola i rapporti lavorativi tra dipendente e datore di lavoro, e infine il fatto che un terzo aveva già effettuato rivelazioni sulle attività dello stesso datore di lavoro anteriori alle contestate rivelazioni. Nonostante il suo specifico contesto, la causa solleva questioni simili a quelle già esaminate dalla Corte (si vedano, in particolare, i paragrafi 113-117 e 121-151 </w:t>
            </w:r>
            <w:proofErr w:type="spellStart"/>
            <w:r w:rsidRPr="00C969C1">
              <w:rPr>
                <w:i/>
                <w:iCs/>
              </w:rPr>
              <w:t>supra</w:t>
            </w:r>
            <w:proofErr w:type="spellEnd"/>
            <w:r w:rsidRPr="00C969C1">
              <w:rPr>
                <w:i/>
                <w:iCs/>
              </w:rPr>
              <w:t xml:space="preserve">). In tali circostanze la Grande Camera considera opportuno applicare al caso di specie i criteri e i principi generali che ha sopra ribadito e precisato (si vedano i paragrafi 111-154 </w:t>
            </w:r>
            <w:proofErr w:type="spellStart"/>
            <w:r w:rsidRPr="00C969C1">
              <w:rPr>
                <w:i/>
                <w:iCs/>
              </w:rPr>
              <w:t>supra</w:t>
            </w:r>
            <w:proofErr w:type="spellEnd"/>
            <w:r w:rsidRPr="00C969C1">
              <w:rPr>
                <w:i/>
                <w:iCs/>
              </w:rPr>
              <w:t>).</w:t>
            </w:r>
            <w:r w:rsidRPr="00C969C1">
              <w:rPr>
                <w:i/>
                <w:iCs/>
              </w:rPr>
              <w:br/>
              <w:t xml:space="preserve">156. Sebbene il ricorrente abbia invitato la Corte a definire il concetto di “autore di segnalazioni di illeciti o irregolarità” (si vedano i paragrafi 75 e 76 </w:t>
            </w:r>
            <w:proofErr w:type="spellStart"/>
            <w:r w:rsidRPr="00C969C1">
              <w:rPr>
                <w:i/>
                <w:iCs/>
              </w:rPr>
              <w:t>supra</w:t>
            </w:r>
            <w:proofErr w:type="spellEnd"/>
            <w:r w:rsidRPr="00C969C1">
              <w:rPr>
                <w:i/>
                <w:iCs/>
              </w:rPr>
              <w:t xml:space="preserve">), la Corte ribadisce che tale concetto finora non ha ricevuto una definizione giuridica univoca (si veda la parte sul diritto internazionale ed europeo, paragrafi 54-58 </w:t>
            </w:r>
            <w:proofErr w:type="spellStart"/>
            <w:r w:rsidRPr="00C969C1">
              <w:rPr>
                <w:i/>
                <w:iCs/>
              </w:rPr>
              <w:t>supra</w:t>
            </w:r>
            <w:proofErr w:type="spellEnd"/>
            <w:r w:rsidRPr="00C969C1">
              <w:rPr>
                <w:i/>
                <w:iCs/>
              </w:rPr>
              <w:t xml:space="preserve">) e che essa </w:t>
            </w:r>
            <w:proofErr w:type="gramStart"/>
            <w:r w:rsidRPr="00C969C1">
              <w:rPr>
                <w:i/>
                <w:iCs/>
              </w:rPr>
              <w:t>si</w:t>
            </w:r>
            <w:proofErr w:type="gramEnd"/>
            <w:r w:rsidRPr="00C969C1">
              <w:rPr>
                <w:i/>
                <w:iCs/>
              </w:rPr>
              <w:t xml:space="preserve"> sempre astenuta dal fornire una definizione astratta e generale. Nel caso </w:t>
            </w:r>
            <w:proofErr w:type="gramStart"/>
            <w:r w:rsidRPr="00C969C1">
              <w:rPr>
                <w:i/>
                <w:iCs/>
              </w:rPr>
              <w:t>si</w:t>
            </w:r>
            <w:proofErr w:type="gramEnd"/>
            <w:r w:rsidRPr="00C969C1">
              <w:rPr>
                <w:i/>
                <w:iCs/>
              </w:rPr>
              <w:t xml:space="preserve"> specie la Corte intende mantenere tale approccio. Inoltre, come osservato al paragrafo 144 </w:t>
            </w:r>
            <w:proofErr w:type="spellStart"/>
            <w:r w:rsidRPr="00C969C1">
              <w:rPr>
                <w:i/>
                <w:iCs/>
              </w:rPr>
              <w:t>supra</w:t>
            </w:r>
            <w:proofErr w:type="spellEnd"/>
            <w:r w:rsidRPr="00C969C1">
              <w:rPr>
                <w:i/>
                <w:iCs/>
              </w:rPr>
              <w:t>, stabilire se una persona che asserisce di essere un autore di segnalazioni di illeciti o irregolarità benefici della protezione offerta dall’articolo 10 della Convenzione richiede una valutazione che tenga conto delle circostanze di ciascuna causa e del contesto in cui essa si colloca.</w:t>
            </w:r>
            <w:r w:rsidRPr="00C969C1">
              <w:rPr>
                <w:i/>
                <w:iCs/>
              </w:rPr>
              <w:br/>
              <w:t>157. In primo luogo, pertanto, la Corte deve soltanto accertare se e in quale misura la condanna del ricorrente, date le circostanze del caso di specie, abbia costituito un’ingerenza sproporzionata nell’esercizio del suo diritto alla libertà di espressione garantito dall’articolo 10 della Convenzione.</w:t>
            </w:r>
            <w:r w:rsidRPr="00C969C1">
              <w:rPr>
                <w:i/>
                <w:iCs/>
              </w:rPr>
              <w:br/>
              <w:t xml:space="preserve">158. In secondo luogo, in ordine alla specifica questione della protezione degli autori di segnalazioni di illeciti o irregolarità, la Corte intende svolgere il suo esame con le modalità che essa generalmente adotta nell’adempiere ai suoi compiti. Pertanto, nel caso di specie, si atterrà al suo </w:t>
            </w:r>
            <w:r w:rsidRPr="00C969C1">
              <w:rPr>
                <w:i/>
                <w:iCs/>
              </w:rPr>
              <w:lastRenderedPageBreak/>
              <w:t xml:space="preserve">metodo abituale, basato su un approccio caso per caso, consistente nell’esaminare le circostanze specifiche di ciascuna causa di cui è investita alla luce dei principi generali fissati dalla sua giurisprudenza. Nel caso di specie la Corte applicherà i criteri di esame da essa definiti ai sensi dell’articolo 10 della Convenzione, e i criteri </w:t>
            </w:r>
            <w:proofErr w:type="spellStart"/>
            <w:r w:rsidRPr="00C969C1">
              <w:rPr>
                <w:i/>
                <w:iCs/>
              </w:rPr>
              <w:t>Guja</w:t>
            </w:r>
            <w:proofErr w:type="spellEnd"/>
            <w:r w:rsidRPr="00C969C1">
              <w:rPr>
                <w:i/>
                <w:iCs/>
              </w:rPr>
              <w:t xml:space="preserve"> or ora perfezionati (si vedano i paragrafi 113-154 </w:t>
            </w:r>
            <w:proofErr w:type="spellStart"/>
            <w:r w:rsidRPr="00C969C1">
              <w:rPr>
                <w:i/>
                <w:iCs/>
              </w:rPr>
              <w:t>supra</w:t>
            </w:r>
            <w:proofErr w:type="spellEnd"/>
            <w:r w:rsidRPr="00C969C1">
              <w:rPr>
                <w:i/>
                <w:iCs/>
              </w:rPr>
              <w:t>). Saranno necessarie alcune ulteriori precisazioni per tenere conto delle specificità della presente causa. Al riguardo, la Corte deve pertanto, come richiesto dal principio di sussidiarietà, esaminare in primo luogo le modalità di applicazione da parte dei tribunali interni della tutela accordata agli autori di segnalazioni di illeciti o irregolarità ai sensi dell’articolo 10 della Convenzione, poi, in secondo luogo, deve pronunciarsi sulla loro compatibilità con i principi e i criteri definiti dalla giurisprudenza della Corte e, qualora sia necessario, applicarli essa stessa al caso di specie.</w:t>
            </w:r>
            <w:r w:rsidRPr="00C969C1">
              <w:rPr>
                <w:i/>
                <w:iCs/>
              </w:rPr>
              <w:br/>
              <w:t>(b)La valutazione dei fatti effettuata dalla Corte di appello</w:t>
            </w:r>
            <w:r w:rsidRPr="00C969C1">
              <w:rPr>
                <w:i/>
                <w:iCs/>
              </w:rPr>
              <w:br/>
              <w:t>(i)Il controllo sussidiario esercitato dalla Corte</w:t>
            </w:r>
            <w:r w:rsidRPr="00C969C1">
              <w:rPr>
                <w:i/>
                <w:iCs/>
              </w:rPr>
              <w:br/>
              <w:t xml:space="preserve">159. La Corte ribadisce che spetta in primo luogo alle autorità nazionali, in particolare ai tribunali, interpretare e applicare il diritto interno in maniera da dare piena attuazione alla Convenzione. Il ruolo della Corte in sostanza consiste nel determinare se le modalità di interpretazione e applicazione di tale diritto producano conseguenze conformi ai principi della Convenzione (si veda </w:t>
            </w:r>
            <w:proofErr w:type="spellStart"/>
            <w:r w:rsidRPr="00C969C1">
              <w:rPr>
                <w:i/>
                <w:iCs/>
              </w:rPr>
              <w:t>Guðmundur</w:t>
            </w:r>
            <w:proofErr w:type="spellEnd"/>
            <w:r w:rsidRPr="00C969C1">
              <w:rPr>
                <w:i/>
                <w:iCs/>
              </w:rPr>
              <w:t xml:space="preserve"> </w:t>
            </w:r>
            <w:proofErr w:type="spellStart"/>
            <w:r w:rsidRPr="00C969C1">
              <w:rPr>
                <w:i/>
                <w:iCs/>
              </w:rPr>
              <w:t>Andri</w:t>
            </w:r>
            <w:proofErr w:type="spellEnd"/>
            <w:r w:rsidRPr="00C969C1">
              <w:rPr>
                <w:i/>
                <w:iCs/>
              </w:rPr>
              <w:t xml:space="preserve"> </w:t>
            </w:r>
            <w:proofErr w:type="spellStart"/>
            <w:r w:rsidRPr="00C969C1">
              <w:rPr>
                <w:i/>
                <w:iCs/>
              </w:rPr>
              <w:t>Ástráðsson</w:t>
            </w:r>
            <w:proofErr w:type="spellEnd"/>
            <w:r w:rsidRPr="00C969C1">
              <w:rPr>
                <w:i/>
                <w:iCs/>
              </w:rPr>
              <w:t xml:space="preserve"> c. Islanda [GC], n. 26374/18, § 250, 1° dicembre 2020, e i riferimenti ivi citati).</w:t>
            </w:r>
            <w:r w:rsidRPr="00C969C1">
              <w:rPr>
                <w:i/>
                <w:iCs/>
              </w:rPr>
              <w:br/>
              <w:t>160. La Corte sottolinea inoltre che essa nella sua giurisprudenza ha gradualmente sviluppato dei meccanismi di controllo che si prefiggono la piena osservanza del principio di sussidiarietà. Sotto questo profilo, il suo compito consiste nel verificare che i tribunali nazionali abbiano applicato i principi della Convenzione interpretati alla luce della sua giurisprudenza in modo adeguato, così che le loro decisioni siano compatibili con essa (si veda, tra gli altri precedenti, la sentenza Hatton e altri c. Regno Unito [GC] n. 36022/97, CEDU 2003-VIII, per un esempio di tale forma di controllo).</w:t>
            </w:r>
            <w:r w:rsidRPr="00C969C1">
              <w:rPr>
                <w:i/>
                <w:iCs/>
              </w:rPr>
              <w:br/>
              <w:t xml:space="preserve">161. A tale proposito, la Corte sottolinea che essa si attende a maggior ragione che i tribunali nazionali tengano conto della sua giurisprudenza nel pervenire alle loro decisioni nei casi in cui la giurisprudenza sulle questioni in gioco è al contempo sostanziale e stabile e definisce una serie di principi e criteri oggettivi facilmente applicabili. La Corte, pertanto, ha riscontrato la violazione della Convenzione quando ha ritenuto, in ordine a una delle disposizioni della Convenzione, che i tribunali interni non avessero motivato le loro decisioni in modo sufficientemente circonstanziato o non avessero valutato la causa di cui erano investiti alla luce dei principi definiti dalla sua giurisprudenza (si vedano, tra gli altri precedenti, </w:t>
            </w:r>
            <w:proofErr w:type="spellStart"/>
            <w:r w:rsidRPr="00C969C1">
              <w:rPr>
                <w:i/>
                <w:iCs/>
              </w:rPr>
              <w:t>Makdoudi</w:t>
            </w:r>
            <w:proofErr w:type="spellEnd"/>
            <w:r w:rsidRPr="00C969C1">
              <w:rPr>
                <w:i/>
                <w:iCs/>
              </w:rPr>
              <w:t xml:space="preserve"> c. Belgio, n. 12848/15, §§ 94-98, 18 febbraio 2020, e </w:t>
            </w:r>
            <w:proofErr w:type="spellStart"/>
            <w:r w:rsidRPr="00C969C1">
              <w:rPr>
                <w:i/>
                <w:iCs/>
              </w:rPr>
              <w:t>Lashmankin</w:t>
            </w:r>
            <w:proofErr w:type="spellEnd"/>
            <w:r w:rsidRPr="00C969C1">
              <w:rPr>
                <w:i/>
                <w:iCs/>
              </w:rPr>
              <w:t xml:space="preserve"> e altri c. Russia, </w:t>
            </w:r>
            <w:proofErr w:type="spellStart"/>
            <w:r w:rsidRPr="00C969C1">
              <w:rPr>
                <w:i/>
                <w:iCs/>
              </w:rPr>
              <w:t>nn</w:t>
            </w:r>
            <w:proofErr w:type="spellEnd"/>
            <w:r w:rsidRPr="00C969C1">
              <w:rPr>
                <w:i/>
                <w:iCs/>
              </w:rPr>
              <w:t>. 57818/09 e altri 14, § 454, 7 febbraio 2017, per esempi di mancanza di “motivi pertinenti e sufficienti” ai sensi degli articoli 8 e 11 della Convenzione). Qualora, invece, i tribunali interni abbiano esaminato attentamente i fatti, abbiano applicato le pertinenti norme in materia di diritti umani in modo conforme alla Convenzione e alla relativa giurisprudenza, e abbiano adeguatamente bilanciato gli interessi individuali e il pubblico interesse in gioco, occorrerebbero ragioni molto serie alla Corte per sostituire il suo giudizio a quello dei tribunali interni (si veda, in relazione all’articolo 8 della Convenzione, M.A. c. Danimarca [GC], n. 6697/18, § 149, 9 luglio 2021).</w:t>
            </w:r>
            <w:r w:rsidRPr="00C969C1">
              <w:rPr>
                <w:i/>
                <w:iCs/>
              </w:rPr>
              <w:br/>
            </w:r>
            <w:r w:rsidRPr="00C969C1">
              <w:rPr>
                <w:i/>
                <w:iCs/>
              </w:rPr>
              <w:lastRenderedPageBreak/>
              <w:t xml:space="preserve">162. Riguardo più in particolare all’articolo 10 della Convenzione, la Corte sottolinea che anche un ragionamento insufficiente o lacune nel ragionamento dei tribunali interni l’hanno indotta a riscontrare la violazione di tale disposizione, quando tali omissioni le hanno impedito di esercitare efficacemente il suo controllo sulla corretta applicazione da parte delle autorità interne delle norme fissate dalla sua giurisprudenza (si vedano, per esempio, </w:t>
            </w:r>
            <w:proofErr w:type="spellStart"/>
            <w:r w:rsidRPr="00C969C1">
              <w:rPr>
                <w:i/>
                <w:iCs/>
              </w:rPr>
              <w:t>Ergündoğan</w:t>
            </w:r>
            <w:proofErr w:type="spellEnd"/>
            <w:r w:rsidRPr="00C969C1">
              <w:rPr>
                <w:i/>
                <w:iCs/>
              </w:rPr>
              <w:t xml:space="preserve"> c. Turchia, n. 48979/10, § 33, 17 aprile 2018, e </w:t>
            </w:r>
            <w:proofErr w:type="spellStart"/>
            <w:r w:rsidRPr="00C969C1">
              <w:rPr>
                <w:i/>
                <w:iCs/>
              </w:rPr>
              <w:t>Ibragim</w:t>
            </w:r>
            <w:proofErr w:type="spellEnd"/>
            <w:r w:rsidRPr="00C969C1">
              <w:rPr>
                <w:i/>
                <w:iCs/>
              </w:rPr>
              <w:t xml:space="preserve"> </w:t>
            </w:r>
            <w:proofErr w:type="spellStart"/>
            <w:r w:rsidRPr="00C969C1">
              <w:rPr>
                <w:i/>
                <w:iCs/>
              </w:rPr>
              <w:t>Ibragimov</w:t>
            </w:r>
            <w:proofErr w:type="spellEnd"/>
            <w:r w:rsidRPr="00C969C1">
              <w:rPr>
                <w:i/>
                <w:iCs/>
              </w:rPr>
              <w:t xml:space="preserve"> e altri c. Russia, </w:t>
            </w:r>
            <w:proofErr w:type="spellStart"/>
            <w:r w:rsidRPr="00C969C1">
              <w:rPr>
                <w:i/>
                <w:iCs/>
              </w:rPr>
              <w:t>nn</w:t>
            </w:r>
            <w:proofErr w:type="spellEnd"/>
            <w:r w:rsidRPr="00C969C1">
              <w:rPr>
                <w:i/>
                <w:iCs/>
              </w:rPr>
              <w:t>. 1413/08 e 28621/11, §§ 106-111, 28 agosto 2018). La Corte, invero, si attende che i tribunali interni ponderino i diritti o gli interessi in questione in conformità alle procedure da essa definite e ai criteri da essa fissati (si vedano Von Hannover (n. 2), sopra citata, § 107, e MGN Limited c. Regno Unito, n. 39401/04, §§ 150-155, 18 gennaio 2011).</w:t>
            </w:r>
            <w:r w:rsidRPr="00C969C1">
              <w:rPr>
                <w:i/>
                <w:iCs/>
              </w:rPr>
              <w:br/>
              <w:t>(ii)Il riconoscimento da parte della Corte di appello dell’effetto diretto della Convenzione</w:t>
            </w:r>
            <w:r w:rsidRPr="00C969C1">
              <w:rPr>
                <w:i/>
                <w:iCs/>
              </w:rPr>
              <w:br/>
              <w:t xml:space="preserve">163. Nel caso di specie, la Corte in primo luogo osserva che, dalla sua lettura delle osservazioni del Procuratore generale dinanzi alla Corte di appello (si vedano i paragrafi 22 23 </w:t>
            </w:r>
            <w:proofErr w:type="spellStart"/>
            <w:r w:rsidRPr="00C969C1">
              <w:rPr>
                <w:i/>
                <w:iCs/>
              </w:rPr>
              <w:t>supra</w:t>
            </w:r>
            <w:proofErr w:type="spellEnd"/>
            <w:r w:rsidRPr="00C969C1">
              <w:rPr>
                <w:i/>
                <w:iCs/>
              </w:rPr>
              <w:t xml:space="preserve">) e della sentenza di quest’ultima (si vedano i paragrafi 24 e 31-37 </w:t>
            </w:r>
            <w:proofErr w:type="spellStart"/>
            <w:r w:rsidRPr="00C969C1">
              <w:rPr>
                <w:i/>
                <w:iCs/>
              </w:rPr>
              <w:t>supra</w:t>
            </w:r>
            <w:proofErr w:type="spellEnd"/>
            <w:r w:rsidRPr="00C969C1">
              <w:rPr>
                <w:i/>
                <w:iCs/>
              </w:rPr>
              <w:t xml:space="preserve">), risulta che le autorità nazionali, pienamente consapevoli dell’importanza che la Corte attribuisce alla protezione degli autori di segnalazioni di illeciti o irregolarità, hanno cercato di osservare i principi individuati dalla sua giurisprudenza ai sensi dell’articolo 10 della Convenzione. Al riguardo ritiene che non vi sia nulla che corrobori le affermazioni del ricorrente secondo le quali le autorità interne si sarebbero limitate a un riferimento formale ai “criteri </w:t>
            </w:r>
            <w:proofErr w:type="spellStart"/>
            <w:proofErr w:type="gramStart"/>
            <w:r w:rsidRPr="00C969C1">
              <w:rPr>
                <w:i/>
                <w:iCs/>
              </w:rPr>
              <w:t>Guja</w:t>
            </w:r>
            <w:proofErr w:type="spellEnd"/>
            <w:r w:rsidRPr="00C969C1">
              <w:rPr>
                <w:i/>
                <w:iCs/>
              </w:rPr>
              <w:t>“</w:t>
            </w:r>
            <w:proofErr w:type="gramEnd"/>
            <w:r w:rsidRPr="00C969C1">
              <w:rPr>
                <w:i/>
                <w:iCs/>
              </w:rPr>
              <w:t xml:space="preserve">, senza applicarli veramente o perlomeno applicandoli solo in parte (si vedano i paragrafi 70 e 78 </w:t>
            </w:r>
            <w:proofErr w:type="spellStart"/>
            <w:r w:rsidRPr="00C969C1">
              <w:rPr>
                <w:i/>
                <w:iCs/>
              </w:rPr>
              <w:t>supra</w:t>
            </w:r>
            <w:proofErr w:type="spellEnd"/>
            <w:r w:rsidRPr="00C969C1">
              <w:rPr>
                <w:i/>
                <w:iCs/>
              </w:rPr>
              <w:t>).</w:t>
            </w:r>
            <w:r w:rsidRPr="00C969C1">
              <w:rPr>
                <w:i/>
                <w:iCs/>
              </w:rPr>
              <w:br/>
              <w:t xml:space="preserve">164. Risulta chiaro dalla sentenza della Corte di appello che, dopo aver ribadito l’effetto diretto della Convenzione nel diritto interno e aver ritenuto che al caso di specie non si potesse applicare la normativa che nel diritto lussemburghese riconosce lo status di autore di segnalazioni di illeciti o irregolarità (si veda il paragrafo 25 </w:t>
            </w:r>
            <w:proofErr w:type="spellStart"/>
            <w:r w:rsidRPr="00C969C1">
              <w:rPr>
                <w:i/>
                <w:iCs/>
              </w:rPr>
              <w:t>supra</w:t>
            </w:r>
            <w:proofErr w:type="spellEnd"/>
            <w:r w:rsidRPr="00C969C1">
              <w:rPr>
                <w:i/>
                <w:iCs/>
              </w:rPr>
              <w:t xml:space="preserve">), tale corte si sia pronunciata alla luce dell’articolo 10 della Convenzione e della pertinente giurisprudenza della Corte. Nel far ciò ha ribadito che la libertà di espressione “[una] libertà fondamentale, sancita da uno strumento sopranazionale, non può essere vanificata dalle norme nazionali” e ha riconosciuto che, nell’ambito di un dibattito su una questione di pubblico interesse “la libertà di espressione dell’autore di una segnalazione può, se necessario e a certe condizioni, prevalere ed essere invocata come circostanza che giustifica la violazione del diritto nazionale” (si veda il paragrafo 25 </w:t>
            </w:r>
            <w:proofErr w:type="spellStart"/>
            <w:r w:rsidRPr="00C969C1">
              <w:rPr>
                <w:i/>
                <w:iCs/>
              </w:rPr>
              <w:t>supra</w:t>
            </w:r>
            <w:proofErr w:type="spellEnd"/>
            <w:r w:rsidRPr="00C969C1">
              <w:rPr>
                <w:i/>
                <w:iCs/>
              </w:rPr>
              <w:t>).</w:t>
            </w:r>
            <w:r w:rsidRPr="00C969C1">
              <w:rPr>
                <w:i/>
                <w:iCs/>
              </w:rPr>
              <w:br/>
              <w:t xml:space="preserve">165. La Corte osserva inoltre che la Corte di appello ha tenuto conto anche della sua giurisprudenza secondo la quale l’illiceità della condotta divulgata non era “un criterio per decidere se concedere lo status protettivo di autore di segnalazioni di illeciti o irregolarità” osservando che le rivelazioni potevano riguardare una “grave manchevolezza” (si veda il paragrafo 31 </w:t>
            </w:r>
            <w:proofErr w:type="spellStart"/>
            <w:r w:rsidRPr="00C969C1">
              <w:rPr>
                <w:i/>
                <w:iCs/>
              </w:rPr>
              <w:t>supra</w:t>
            </w:r>
            <w:proofErr w:type="spellEnd"/>
            <w:r w:rsidRPr="00C969C1">
              <w:rPr>
                <w:i/>
                <w:iCs/>
              </w:rPr>
              <w:t xml:space="preserve">) e l’interesse pubblico senza che “l’atto, l’omissione, la pratica, la condotta o la manchevolezza necessariamente costituiscano reato” (si veda il paragrafo 32 </w:t>
            </w:r>
            <w:proofErr w:type="spellStart"/>
            <w:r w:rsidRPr="00C969C1">
              <w:rPr>
                <w:i/>
                <w:iCs/>
              </w:rPr>
              <w:t>supra</w:t>
            </w:r>
            <w:proofErr w:type="spellEnd"/>
            <w:r w:rsidRPr="00C969C1">
              <w:rPr>
                <w:i/>
                <w:iCs/>
              </w:rPr>
              <w:t>).</w:t>
            </w:r>
            <w:r w:rsidRPr="00C969C1">
              <w:rPr>
                <w:i/>
                <w:iCs/>
              </w:rPr>
              <w:br/>
              <w:t xml:space="preserve">166. La Corte da tutti questi elementi desume che la sua giurisprudenza sulla protezione della libertà di espressione degli autori di segnalazioni di illeciti o irregolarità ha fornito alla Corte di appello una guida per interpretare il contenuto e la portata del diritto del ricorrente alla libertà di espressione. Al riguardo la Corte non può che commendare la diligenza della Corte di appello nell’applicare, uno ad uno, i criteri </w:t>
            </w:r>
            <w:proofErr w:type="spellStart"/>
            <w:r w:rsidRPr="00C969C1">
              <w:rPr>
                <w:i/>
                <w:iCs/>
              </w:rPr>
              <w:t>Guja</w:t>
            </w:r>
            <w:proofErr w:type="spellEnd"/>
            <w:r w:rsidRPr="00C969C1">
              <w:rPr>
                <w:i/>
                <w:iCs/>
              </w:rPr>
              <w:t xml:space="preserve"> alle circostanze fattuali sottoposte al suo esame (si vedano i </w:t>
            </w:r>
            <w:r w:rsidRPr="00C969C1">
              <w:rPr>
                <w:i/>
                <w:iCs/>
              </w:rPr>
              <w:lastRenderedPageBreak/>
              <w:t xml:space="preserve">paragrafi 31-37 </w:t>
            </w:r>
            <w:proofErr w:type="spellStart"/>
            <w:r w:rsidRPr="00C969C1">
              <w:rPr>
                <w:i/>
                <w:iCs/>
              </w:rPr>
              <w:t>supra</w:t>
            </w:r>
            <w:proofErr w:type="spellEnd"/>
            <w:r w:rsidRPr="00C969C1">
              <w:rPr>
                <w:i/>
                <w:iCs/>
              </w:rPr>
              <w:t xml:space="preserve">) per determinare se la condanna penale del ricorrente potesse o meno costituire un’ingerenza sproporzionata nel suo diritto al rispetto della libertà di espressione. Nel caso di specie è indubbio che le autorità nazionali, e in particolare la Corte di appello, abbiano cercato di applicare la giurisprudenza della Corte fedelmente (fatto, peraltro, che ha costituito il fondamento dell’assoluzione di A.D. dall’accusa di aver consegnato documenti relativi alle attività della PwC e alle prassi delle autorità fiscali lussemburghesi al giornalista E.P. (si veda il paragrafo 38 </w:t>
            </w:r>
            <w:proofErr w:type="spellStart"/>
            <w:r w:rsidRPr="00C969C1">
              <w:rPr>
                <w:i/>
                <w:iCs/>
              </w:rPr>
              <w:t>supra</w:t>
            </w:r>
            <w:proofErr w:type="spellEnd"/>
            <w:r w:rsidRPr="00C969C1">
              <w:rPr>
                <w:i/>
                <w:iCs/>
              </w:rPr>
              <w:t>)), e di esporre in modo dettagliato i vari passaggi del ragionamento seguito.</w:t>
            </w:r>
            <w:r w:rsidRPr="00C969C1">
              <w:rPr>
                <w:i/>
                <w:iCs/>
              </w:rPr>
              <w:br/>
              <w:t xml:space="preserve">(iii)L’applicazione da parte delle Corte di appello dei criteri </w:t>
            </w:r>
            <w:proofErr w:type="spellStart"/>
            <w:r w:rsidRPr="00C969C1">
              <w:rPr>
                <w:i/>
                <w:iCs/>
              </w:rPr>
              <w:t>Guja</w:t>
            </w:r>
            <w:proofErr w:type="spellEnd"/>
            <w:r w:rsidRPr="00C969C1">
              <w:rPr>
                <w:i/>
                <w:iCs/>
              </w:rPr>
              <w:br/>
              <w:t>167. La Corte osserva che le parti concordano sul fatto che il ricorrente aveva soddisfatto alcune delle condizioni fissate dalla sua giurisprudenza per poter aspirare alla protezione rafforzata accordata agli autori di segnalazioni di illeciti o irregolarità ai sensi dell’articolo 10 della Convenzione, ovvero quelle riguardanti il canale selezionato per effettuare le rivelazioni, il pubblico interesse da esse presentato, l’autenticità dei documenti divulgati e la buona fede del ricorrente. Tali aspetti, sia in relazione alle circostanze fattuali che alla loro valutazione da parte dei tribunali interni, non sono stati specificamente sollevati dinanzi alla Grande Camera.</w:t>
            </w:r>
            <w:r w:rsidRPr="00C969C1">
              <w:rPr>
                <w:i/>
                <w:iCs/>
              </w:rPr>
              <w:br/>
              <w:t xml:space="preserve">168. Nelle sue osservazioni il Governo ha sostenuto che la questione in discussione dinanzi alla Grande Camera era il bilanciamento dell’interesse pubblico alle informazioni divulgate rispetto al danno che ne derivava al datore di lavoro (si veda il paragrafo 85 </w:t>
            </w:r>
            <w:proofErr w:type="spellStart"/>
            <w:r w:rsidRPr="00C969C1">
              <w:rPr>
                <w:i/>
                <w:iCs/>
              </w:rPr>
              <w:t>supra</w:t>
            </w:r>
            <w:proofErr w:type="spellEnd"/>
            <w:r w:rsidRPr="00C969C1">
              <w:rPr>
                <w:i/>
                <w:iCs/>
              </w:rPr>
              <w:t xml:space="preserve">). Secondo la consolidata giurisprudenza della Corte, la “causa” rinviata dinanzi alla Grande Camera abbraccia necessariamente tutti gli aspetti del ricorso precedentemente esaminato dalla Camera nella sua sentenza, giacché non sussiste alcun fondamento per un rinvio meramente parziale della causa (si veda </w:t>
            </w:r>
            <w:proofErr w:type="spellStart"/>
            <w:r w:rsidRPr="00C969C1">
              <w:rPr>
                <w:i/>
                <w:iCs/>
              </w:rPr>
              <w:t>Cumpănă</w:t>
            </w:r>
            <w:proofErr w:type="spellEnd"/>
            <w:r w:rsidRPr="00C969C1">
              <w:rPr>
                <w:i/>
                <w:iCs/>
              </w:rPr>
              <w:t xml:space="preserve"> e </w:t>
            </w:r>
            <w:proofErr w:type="spellStart"/>
            <w:r w:rsidRPr="00C969C1">
              <w:rPr>
                <w:i/>
                <w:iCs/>
              </w:rPr>
              <w:t>Mazăre</w:t>
            </w:r>
            <w:proofErr w:type="spellEnd"/>
            <w:r w:rsidRPr="00C969C1">
              <w:rPr>
                <w:i/>
                <w:iCs/>
              </w:rPr>
              <w:t xml:space="preserve"> c. Romania [GC], n. 33348/96, § 66, CEDU 2004 XI). A fini di chiarezza, la Corte aggiunge che la “causa” rinviata dinanzi alla Grande Camera è costituita dal ricorso che è stato dichiarato ricevibile (si vedano K. e T. c. Finlandia [GC], n. 25702/94, § 141, CEDU 2001 VII, e Ilias e Ahmed c. Ungheria [GC], n. 47287/15, §§ 171-177, 21 novembre 2019).</w:t>
            </w:r>
            <w:r w:rsidRPr="00C969C1">
              <w:rPr>
                <w:i/>
                <w:iCs/>
              </w:rPr>
              <w:br/>
              <w:t xml:space="preserve">169. Di conseguenza la Grande Camera non ha motivo di accogliere l’invito del Governo a limitare la portata del suo esame ad un singolo aspetto della causa. Inoltre, il ricorrente ha invitato la Grande Camera a chiarire le fasi del ragionamento che conduce alla concessione della protezione inerente allo status di autore di segnalazioni di illeciti o irregolarità. Nelle sue osservazioni alla Grande Camera egli ha sostenuto che occorreva precisare in quale modo, nell’applicare i criteri </w:t>
            </w:r>
            <w:proofErr w:type="spellStart"/>
            <w:r w:rsidRPr="00C969C1">
              <w:rPr>
                <w:i/>
                <w:iCs/>
              </w:rPr>
              <w:t>Guja</w:t>
            </w:r>
            <w:proofErr w:type="spellEnd"/>
            <w:r w:rsidRPr="00C969C1">
              <w:rPr>
                <w:i/>
                <w:iCs/>
              </w:rPr>
              <w:t>, si dovessero bilanciare gli interessi concorrenti.</w:t>
            </w:r>
            <w:r w:rsidRPr="00C969C1">
              <w:rPr>
                <w:i/>
                <w:iCs/>
              </w:rPr>
              <w:br/>
              <w:t xml:space="preserve">170. A tale proposito il ricorrente ha criticato la Corte di appello per aver applicato tali criteri considerandoli isolatamente (si veda il paragrafo 85 </w:t>
            </w:r>
            <w:proofErr w:type="spellStart"/>
            <w:r w:rsidRPr="00C969C1">
              <w:rPr>
                <w:i/>
                <w:iCs/>
              </w:rPr>
              <w:t>supra</w:t>
            </w:r>
            <w:proofErr w:type="spellEnd"/>
            <w:r w:rsidRPr="00C969C1">
              <w:rPr>
                <w:i/>
                <w:iCs/>
              </w:rPr>
              <w:t xml:space="preserve">). Dal canto suo la Corte ritiene utile sottolineare che nelle cause che riguardano la libertà di espressione degli autori di segnalazioni, essa verifica l’osservanza dei diversi “criteri </w:t>
            </w:r>
            <w:proofErr w:type="spellStart"/>
            <w:r w:rsidRPr="00C969C1">
              <w:rPr>
                <w:i/>
                <w:iCs/>
              </w:rPr>
              <w:t>Guja</w:t>
            </w:r>
            <w:proofErr w:type="spellEnd"/>
            <w:r w:rsidRPr="00C969C1">
              <w:rPr>
                <w:i/>
                <w:iCs/>
              </w:rPr>
              <w:t>”, considerandoli separatamente, senza stabilire una gerarchia tra di essi o indicare in quale ordine occorra esaminarli.</w:t>
            </w:r>
            <w:r w:rsidRPr="00C969C1">
              <w:rPr>
                <w:i/>
                <w:iCs/>
              </w:rPr>
              <w:br/>
              <w:t xml:space="preserve">Risulta che tale ordine vari da causa a causa, senza che ciò incida sull’esito della causa di cui la Corte è investita (si confronti, per esempio, l’ordine di esame dei criteri nelle cause </w:t>
            </w:r>
            <w:proofErr w:type="spellStart"/>
            <w:r w:rsidRPr="00C969C1">
              <w:rPr>
                <w:i/>
                <w:iCs/>
              </w:rPr>
              <w:t>Bucur</w:t>
            </w:r>
            <w:proofErr w:type="spellEnd"/>
            <w:r w:rsidRPr="00C969C1">
              <w:rPr>
                <w:i/>
                <w:iCs/>
              </w:rPr>
              <w:t xml:space="preserve"> e Toma, §§ 95-119; Heinisch, §§ 71-92; e </w:t>
            </w:r>
            <w:proofErr w:type="spellStart"/>
            <w:r w:rsidRPr="00C969C1">
              <w:rPr>
                <w:i/>
                <w:iCs/>
              </w:rPr>
              <w:t>Gawlik</w:t>
            </w:r>
            <w:proofErr w:type="spellEnd"/>
            <w:r w:rsidRPr="00C969C1">
              <w:rPr>
                <w:i/>
                <w:iCs/>
              </w:rPr>
              <w:t xml:space="preserve">, §§ 73-84, tutte sopra citate). La Corte sottolinea tuttavia che, data la loro interdipendenza (si vedano i paragrafi 126 e 129 </w:t>
            </w:r>
            <w:proofErr w:type="spellStart"/>
            <w:r w:rsidRPr="00C969C1">
              <w:rPr>
                <w:i/>
                <w:iCs/>
              </w:rPr>
              <w:t>supra</w:t>
            </w:r>
            <w:proofErr w:type="spellEnd"/>
            <w:r w:rsidRPr="00C969C1">
              <w:rPr>
                <w:i/>
                <w:iCs/>
              </w:rPr>
              <w:t xml:space="preserve">), essa si pronuncia sulla proporzionalità di un’ingerenza al termine di un’analisi globale di tutti tali criteri. Ciò premesso, la </w:t>
            </w:r>
            <w:r w:rsidRPr="00C969C1">
              <w:rPr>
                <w:i/>
                <w:iCs/>
              </w:rPr>
              <w:lastRenderedPageBreak/>
              <w:t>Corte nel caso di specie decide di esaminarli in successione alla luce delle specifiche circostanze della causa e tenendo conto della valutazione della Corte di appello.</w:t>
            </w:r>
            <w:r w:rsidRPr="00C969C1">
              <w:rPr>
                <w:i/>
                <w:iCs/>
              </w:rPr>
              <w:br/>
              <w:t>(α)L’eventuale esistenza di altri canali che consentivano la divulgazione</w:t>
            </w:r>
            <w:r w:rsidRPr="00C969C1">
              <w:rPr>
                <w:i/>
                <w:iCs/>
              </w:rPr>
              <w:br/>
              <w:t xml:space="preserve">171. La Corte ritiene che le prassi di ottimizzazione fiscale a beneficio delle grandi società multinazionali e le dichiarazioni dei redditi, atti giuridici destinati a fornire informazioni (si veda il paragrafo 28 </w:t>
            </w:r>
            <w:proofErr w:type="spellStart"/>
            <w:r w:rsidRPr="00C969C1">
              <w:rPr>
                <w:i/>
                <w:iCs/>
              </w:rPr>
              <w:t>supra</w:t>
            </w:r>
            <w:proofErr w:type="spellEnd"/>
            <w:r w:rsidRPr="00C969C1">
              <w:rPr>
                <w:i/>
                <w:iCs/>
              </w:rPr>
              <w:t>), predisposte dal datore di lavoro del ricorrente per le autorità fiscali lussemburghesi per conto dei suoi clienti fossero legali nel </w:t>
            </w:r>
            <w:bookmarkStart w:id="49" w:name="hitd0p226"/>
            <w:r w:rsidRPr="00C969C1">
              <w:rPr>
                <w:i/>
                <w:iCs/>
              </w:rPr>
              <w:t>Lussemburgo</w:t>
            </w:r>
            <w:bookmarkEnd w:id="49"/>
            <w:r w:rsidRPr="00C969C1">
              <w:rPr>
                <w:i/>
                <w:iCs/>
              </w:rPr>
              <w:t>, non vi era pertanto in ciò nulla di illecito dal punto di vista della legge, cosa che avrebbe giustificato un tentativo da parte del ricorrente di avvertire i suoi superiori gerarchici per porre fine ad atti che costituivano la normale attività del suo datore di lavoro.</w:t>
            </w:r>
            <w:r w:rsidRPr="00C969C1">
              <w:rPr>
                <w:i/>
                <w:iCs/>
              </w:rPr>
              <w:br/>
              <w:t xml:space="preserve">172. La Corte ritiene che in una simile situazione soltanto il ricorso diretto a un canale di segnalazione esterna fosse in grado di costituire un mezzo efficace di allerta. Come ha sostenuto la MLA, in certe circostanze, il ricorso ai media può costituire una condizione necessaria per l’efficacia della segnalazione (si veda il paragrafo 97 </w:t>
            </w:r>
            <w:proofErr w:type="spellStart"/>
            <w:r w:rsidRPr="00C969C1">
              <w:rPr>
                <w:i/>
                <w:iCs/>
              </w:rPr>
              <w:t>supra</w:t>
            </w:r>
            <w:proofErr w:type="spellEnd"/>
            <w:r w:rsidRPr="00C969C1">
              <w:rPr>
                <w:i/>
                <w:iCs/>
              </w:rPr>
              <w:t xml:space="preserve">). In tali circostanze, qualora si tratti di condotte o prassi riguardanti le normali attività del datore di lavoro che non sono di per sé illegali, il rispetto effettivo del diritto di comunicare informazioni di interesse pubblico implica che si debba ritenere ammissibile il ricorso diretto a canali di segnalazione esterni, compresi, ove necessario, i mezzi di comunicazione. Ciò, del resto, è quanto aveva ammesso anche la Corte di appello nel caso di specie quando aveva concluso che il ricorrente non avrebbe potuto “agire diversamente, [e] (…) che (…) informare il pubblico attraverso i mezzi di comunicazione in questo caso fosse l’unica alternativa realistica per lanciare l’allarme (si veda il paragrafo 34 </w:t>
            </w:r>
            <w:proofErr w:type="spellStart"/>
            <w:r w:rsidRPr="00C969C1">
              <w:rPr>
                <w:i/>
                <w:iCs/>
              </w:rPr>
              <w:t>supra</w:t>
            </w:r>
            <w:proofErr w:type="spellEnd"/>
            <w:r w:rsidRPr="00C969C1">
              <w:rPr>
                <w:i/>
                <w:iCs/>
              </w:rPr>
              <w:t>). La Corte tiene a sottolineare che tale conclusione è coerente con la sua giurisprudenza.</w:t>
            </w:r>
            <w:r w:rsidRPr="00C969C1">
              <w:rPr>
                <w:i/>
                <w:iCs/>
              </w:rPr>
              <w:br/>
              <w:t>(β)L’autenticità delle informazioni divulgate</w:t>
            </w:r>
            <w:r w:rsidRPr="00C969C1">
              <w:rPr>
                <w:i/>
                <w:iCs/>
              </w:rPr>
              <w:br/>
              <w:t xml:space="preserve">173. Il ricorrente ha consegnato al giornalista E.P. quattordici dichiarazioni dei redditi e due lettere di accompagnamento, la cui “esattezza e autenticità” sono state confermate dalla Corte di appello e non sono state messe in dubbio in alcun modo (si veda il paragrafo 33 </w:t>
            </w:r>
            <w:proofErr w:type="spellStart"/>
            <w:r w:rsidRPr="00C969C1">
              <w:rPr>
                <w:i/>
                <w:iCs/>
              </w:rPr>
              <w:t>supra</w:t>
            </w:r>
            <w:proofErr w:type="spellEnd"/>
            <w:r w:rsidRPr="00C969C1">
              <w:rPr>
                <w:i/>
                <w:iCs/>
              </w:rPr>
              <w:t>). Essendo così soddisfatto anche il criterio dell’autenticità delle informazioni divulgate, non vi è motivo per la Corte di discostarsi dalle conclusioni della Corte di appello in merito.</w:t>
            </w:r>
            <w:r w:rsidRPr="00C969C1">
              <w:rPr>
                <w:i/>
                <w:iCs/>
              </w:rPr>
              <w:br/>
              <w:t>(γ)La buona fede del ricorrente</w:t>
            </w:r>
            <w:r w:rsidRPr="00C969C1">
              <w:rPr>
                <w:i/>
                <w:iCs/>
              </w:rPr>
              <w:br/>
              <w:t xml:space="preserve">174. Dalla sentenza della Corte di appello risulta che il ricorrente non ha agito “a fini di profitto o per danneggiare il suo datore di lavoro” (si veda il paragrafo 28 </w:t>
            </w:r>
            <w:proofErr w:type="spellStart"/>
            <w:r w:rsidRPr="00C969C1">
              <w:rPr>
                <w:i/>
                <w:iCs/>
              </w:rPr>
              <w:t>supra</w:t>
            </w:r>
            <w:proofErr w:type="spellEnd"/>
            <w:r w:rsidRPr="00C969C1">
              <w:rPr>
                <w:i/>
                <w:iCs/>
              </w:rPr>
              <w:t xml:space="preserve">) ed essa ha ammesso che era stato soddisfatto il criterio della buona fede (si veda il paragrafo 37 </w:t>
            </w:r>
            <w:proofErr w:type="spellStart"/>
            <w:r w:rsidRPr="00C969C1">
              <w:rPr>
                <w:i/>
                <w:iCs/>
              </w:rPr>
              <w:t>supra</w:t>
            </w:r>
            <w:proofErr w:type="spellEnd"/>
            <w:r w:rsidRPr="00C969C1">
              <w:rPr>
                <w:i/>
                <w:iCs/>
              </w:rPr>
              <w:t>). La Corte non vede motivi per discostarsi da tale valutazione e osserva a sua volta che il ricorrente ha soddisfatto il requisito della buona fede quando ha effettuato le rivelazioni in questione.</w:t>
            </w:r>
            <w:r w:rsidRPr="00C969C1">
              <w:rPr>
                <w:i/>
                <w:iCs/>
              </w:rPr>
              <w:br/>
              <w:t>(δ)Il bilanciamento tra l’interesse pubblico presentato dalle informazioni divulgate e gli effetti lesivi della divulgazione</w:t>
            </w:r>
            <w:r w:rsidRPr="00C969C1">
              <w:rPr>
                <w:i/>
                <w:iCs/>
              </w:rPr>
              <w:br/>
              <w:t xml:space="preserve">175. In via preliminare la Corte ritiene utile precisare che, tenuto conto dei principi generali individuati dalla sua giurisprudenza (si vedano i paragrafi 111-119 </w:t>
            </w:r>
            <w:proofErr w:type="spellStart"/>
            <w:r w:rsidRPr="00C969C1">
              <w:rPr>
                <w:i/>
                <w:iCs/>
              </w:rPr>
              <w:t>supra</w:t>
            </w:r>
            <w:proofErr w:type="spellEnd"/>
            <w:r w:rsidRPr="00C969C1">
              <w:rPr>
                <w:i/>
                <w:iCs/>
              </w:rPr>
              <w:t xml:space="preserve">), la controversia di cui alla presente causa non può essere considerata in termini di conflitto di diritti, come asserito dal Governo (si veda il paragrafo 83 </w:t>
            </w:r>
            <w:proofErr w:type="spellStart"/>
            <w:r w:rsidRPr="00C969C1">
              <w:rPr>
                <w:i/>
                <w:iCs/>
              </w:rPr>
              <w:t>supra</w:t>
            </w:r>
            <w:proofErr w:type="spellEnd"/>
            <w:r w:rsidRPr="00C969C1">
              <w:rPr>
                <w:i/>
                <w:iCs/>
              </w:rPr>
              <w:t xml:space="preserve">). </w:t>
            </w:r>
            <w:proofErr w:type="gramStart"/>
            <w:r w:rsidRPr="00C969C1">
              <w:rPr>
                <w:i/>
                <w:iCs/>
              </w:rPr>
              <w:t>Essa pertanto</w:t>
            </w:r>
            <w:proofErr w:type="gramEnd"/>
            <w:r w:rsidRPr="00C969C1">
              <w:rPr>
                <w:i/>
                <w:iCs/>
              </w:rPr>
              <w:t xml:space="preserve"> effettuerà la sua valutazione delle circostanze della causa soltanto ai sensi dell’articolo 10 della Convenzione, il cui primo paragrafo </w:t>
            </w:r>
            <w:r w:rsidRPr="00C969C1">
              <w:rPr>
                <w:i/>
                <w:iCs/>
              </w:rPr>
              <w:lastRenderedPageBreak/>
              <w:t>garantisce il diritto alla libertà di espressione che comprende il diritto di comunicare informazioni, e il cui secondo paragrafo elenca i motivi che consentono agli Stati di limitare tale diritto, tra i quali vi è la protezione della reputazione o dei diritti altrui e la necessità di impedire la divulgazione di informazioni riservate.</w:t>
            </w:r>
            <w:r w:rsidRPr="00C969C1">
              <w:rPr>
                <w:i/>
                <w:iCs/>
              </w:rPr>
              <w:br/>
              <w:t>176. Ne consegue che la Grande Camera concorda con la conclusione della Camera (§ 95 della sentenza della Camera), che il ricorrente invita a confermare, secondo la quale “la presente causa richiede l’esame del giusto equilibrio che occorre conseguire tra interessi concorrenti”.</w:t>
            </w:r>
            <w:r w:rsidRPr="00C969C1">
              <w:rPr>
                <w:i/>
                <w:iCs/>
              </w:rPr>
              <w:br/>
              <w:t xml:space="preserve">177. La Corte osserva inoltre che il suo ruolo, in linea di principio, si limita a verificare se i tribunali interni abbiano conseguito un giusto equilibrio tra, da un lato, il pubblico interesse presentato dai documenti divulgati e, dall’altro, l’insieme degli effetti lesivi derivanti dalla loro divulgazione, per decidere se il ricorrente possa beneficiare della protezione rafforzata cui hanno diritto gli autori di segnalazioni di illeciti o irregolarità ai sensi dell’articolo 10 della Convenzione. In proposito ribadisce che le competenti autorità nazionali devono motivare in modo sufficientemente circostanziato le loro decisioni per consentire alla Corte di svolgere la funzione di controllo che le è stata affidata. Una motivazione insufficiente, senza un reale bilanciamento degli interessi in questione, sarebbe contraria ai requisiti di cui all’articolo 10 della Convenzione (si vedano </w:t>
            </w:r>
            <w:proofErr w:type="spellStart"/>
            <w:r w:rsidRPr="00C969C1">
              <w:rPr>
                <w:i/>
                <w:iCs/>
              </w:rPr>
              <w:t>Makdoudi</w:t>
            </w:r>
            <w:proofErr w:type="spellEnd"/>
            <w:r w:rsidRPr="00C969C1">
              <w:rPr>
                <w:i/>
                <w:iCs/>
              </w:rPr>
              <w:t xml:space="preserve">, sopra citata, §§ 94-98, e </w:t>
            </w:r>
            <w:proofErr w:type="spellStart"/>
            <w:r w:rsidRPr="00C969C1">
              <w:rPr>
                <w:i/>
                <w:iCs/>
              </w:rPr>
              <w:t>Lashmankin</w:t>
            </w:r>
            <w:proofErr w:type="spellEnd"/>
            <w:r w:rsidRPr="00C969C1">
              <w:rPr>
                <w:i/>
                <w:iCs/>
              </w:rPr>
              <w:t xml:space="preserve"> e altri, sopra citata, § 454).</w:t>
            </w:r>
            <w:r w:rsidRPr="00C969C1">
              <w:rPr>
                <w:i/>
                <w:iCs/>
              </w:rPr>
              <w:br/>
              <w:t xml:space="preserve">178. La Corte ribadisce tuttavia che, pur confermando e consolidando i principi individuati dalla sua giurisprudenza sulla protezione degli autori di segnalazioni di illeciti o irregolarità, essa ha, nel caso di specie, perfezionato i termini dell’esercizio di bilanciamento che occorre svolgere tra gli interessi concorrenti in gioco (si vedano i paragrafi 120 e 131-148 </w:t>
            </w:r>
            <w:proofErr w:type="spellStart"/>
            <w:r w:rsidRPr="00C969C1">
              <w:rPr>
                <w:i/>
                <w:iCs/>
              </w:rPr>
              <w:t>supra</w:t>
            </w:r>
            <w:proofErr w:type="spellEnd"/>
            <w:r w:rsidRPr="00C969C1">
              <w:rPr>
                <w:i/>
                <w:iCs/>
              </w:rPr>
              <w:t>). Qualora la Corte, nell’ambito del suo controllo, riscontri che l’esercizio di bilanciamento svolto dai tribunali interni non soddisfa i requisiti così definiti, allora spetterà alla Corte stessa effettuare l’esercizio di bilanciamento tra i diversi interessi coinvolti nella presente causa.</w:t>
            </w:r>
            <w:r w:rsidRPr="00C969C1">
              <w:rPr>
                <w:i/>
                <w:iCs/>
              </w:rPr>
              <w:br/>
              <w:t>179. In questa prospettiva la Corte esaminerà in successione il contesto in cui è avvenuta l’impugnata divulgazione, l’interesse pubblico cui ha giovato e gli effetti lesivi che ha provocato.</w:t>
            </w:r>
            <w:r w:rsidRPr="00C969C1">
              <w:rPr>
                <w:i/>
                <w:iCs/>
              </w:rPr>
              <w:br/>
              <w:t>‒Il contesto dell’impugnata divulgazione</w:t>
            </w:r>
            <w:r w:rsidRPr="00C969C1">
              <w:rPr>
                <w:i/>
                <w:iCs/>
              </w:rPr>
              <w:br/>
              <w:t>180. La Corte specifica che il contesto di una divulgazione può giocare un ruolo cruciale nella valutazione dell’importanza del pubblico interesse presentato dalle informazioni divulgate in rapporto agli effetti lesivi che esse comportano e che dovrebbe essere possibile valutare tale importanza alla luce delle circostanze fattuali inerenti alla divulgazione.</w:t>
            </w:r>
            <w:r w:rsidRPr="00C969C1">
              <w:rPr>
                <w:i/>
                <w:iCs/>
              </w:rPr>
              <w:br/>
              <w:t xml:space="preserve">181. Nel caso di specie, la Corte osserva che il ricorrente ha consegnato i sedici documenti in questione al giornalista E.P. alcuni mesi dopo la prima trasmissione del programma Cash </w:t>
            </w:r>
            <w:proofErr w:type="spellStart"/>
            <w:r w:rsidRPr="00C969C1">
              <w:rPr>
                <w:i/>
                <w:iCs/>
              </w:rPr>
              <w:t>Investigation</w:t>
            </w:r>
            <w:proofErr w:type="spellEnd"/>
            <w:r w:rsidRPr="00C969C1">
              <w:rPr>
                <w:i/>
                <w:iCs/>
              </w:rPr>
              <w:t xml:space="preserve">, che contestava la pratica degli ATA e le autorità fiscali lussemburghesi; inoltre era trascorso un anno tra le due trasmissioni televisive che a loro volta si basavano sui documenti divulgati da A.D., cui era stato concesso lo status di autore di segnalazioni di illeciti o irregolarità, e dal ricorrente (si veda il paragrafo 14 </w:t>
            </w:r>
            <w:proofErr w:type="spellStart"/>
            <w:r w:rsidRPr="00C969C1">
              <w:rPr>
                <w:i/>
                <w:iCs/>
              </w:rPr>
              <w:t>supra</w:t>
            </w:r>
            <w:proofErr w:type="spellEnd"/>
            <w:r w:rsidRPr="00C969C1">
              <w:rPr>
                <w:i/>
                <w:iCs/>
              </w:rPr>
              <w:t>).</w:t>
            </w:r>
            <w:r w:rsidRPr="00C969C1">
              <w:rPr>
                <w:i/>
                <w:iCs/>
              </w:rPr>
              <w:br/>
              <w:t xml:space="preserve">182. Nel valutare il contesto in cui era intervenuta la consegna, la Corte di appello aveva ritenuto che le dichiarazioni dei redditi in questione fossero state indubbiamente utili a E.P. in quanto avevano confermato gli esiti dell’inchiesta giornalistica, ma che non avessero tuttavia “fornito informazioni fondamentali e inedite 0in grado di rilanciare o contribuire al dibattito sull’evasione </w:t>
            </w:r>
            <w:r w:rsidRPr="00C969C1">
              <w:rPr>
                <w:i/>
                <w:iCs/>
              </w:rPr>
              <w:lastRenderedPageBreak/>
              <w:t xml:space="preserve">fiscale”. Essa aveva concluso che suddette dichiarazioni dei redditi “non avevano contribuito al dibattito pubblico sulla pratica lussemburghese degli ATA né avevano innescato il dibattito sull’evasione fiscale, o fornito informazioni essenziali, nuove e inedite” e aveva constatato che il ricorrente aveva provocato al suo datore di lavori un danno “superiore all’interesse generale” presentato dalla divulgazione delle informazioni contestate (si veda il paragrafo 35 </w:t>
            </w:r>
            <w:proofErr w:type="spellStart"/>
            <w:r w:rsidRPr="00C969C1">
              <w:rPr>
                <w:i/>
                <w:iCs/>
              </w:rPr>
              <w:t>supra</w:t>
            </w:r>
            <w:proofErr w:type="spellEnd"/>
            <w:r w:rsidRPr="00C969C1">
              <w:rPr>
                <w:i/>
                <w:iCs/>
              </w:rPr>
              <w:t>).</w:t>
            </w:r>
            <w:r w:rsidRPr="00C969C1">
              <w:rPr>
                <w:i/>
                <w:iCs/>
              </w:rPr>
              <w:br/>
              <w:t xml:space="preserve">183. Il ricorrente ha contestato, in particolare, il requisito che imponeva che le informazioni fossero “essenziali, nuove e inedite” (si veda il paragrafo 68 </w:t>
            </w:r>
            <w:proofErr w:type="spellStart"/>
            <w:r w:rsidRPr="00C969C1">
              <w:rPr>
                <w:i/>
                <w:iCs/>
              </w:rPr>
              <w:t>supra</w:t>
            </w:r>
            <w:proofErr w:type="spellEnd"/>
            <w:r w:rsidRPr="00C969C1">
              <w:rPr>
                <w:i/>
                <w:iCs/>
              </w:rPr>
              <w:t xml:space="preserve">). La Corte prende atto anche delle osservazioni dei terzi intervenienti che hanno sostenuto che un simile requisito, di natura relativa e imprevedibile, sarebbe fonte di incertezza giuridica per gli autori di segnalazioni di illeciti o irregolarità (si vedano i paragrafi 98 e 104 </w:t>
            </w:r>
            <w:proofErr w:type="spellStart"/>
            <w:r w:rsidRPr="00C969C1">
              <w:rPr>
                <w:i/>
                <w:iCs/>
              </w:rPr>
              <w:t>supra</w:t>
            </w:r>
            <w:proofErr w:type="spellEnd"/>
            <w:r w:rsidRPr="00C969C1">
              <w:rPr>
                <w:i/>
                <w:iCs/>
              </w:rPr>
              <w:t>).</w:t>
            </w:r>
            <w:r w:rsidRPr="00C969C1">
              <w:rPr>
                <w:i/>
                <w:iCs/>
              </w:rPr>
              <w:br/>
              <w:t xml:space="preserve">184. A tale proposito la Corte ribadisce che un dibattito pubblico può essere di natura continuativa e attingere a informazioni integrative (si vedano </w:t>
            </w:r>
            <w:proofErr w:type="spellStart"/>
            <w:r w:rsidRPr="00C969C1">
              <w:rPr>
                <w:i/>
                <w:iCs/>
              </w:rPr>
              <w:t>Dammann</w:t>
            </w:r>
            <w:proofErr w:type="spellEnd"/>
            <w:r w:rsidRPr="00C969C1">
              <w:rPr>
                <w:i/>
                <w:iCs/>
              </w:rPr>
              <w:t xml:space="preserve">, sopra citata, § 54, e </w:t>
            </w:r>
            <w:proofErr w:type="spellStart"/>
            <w:r w:rsidRPr="00C969C1">
              <w:rPr>
                <w:i/>
                <w:iCs/>
              </w:rPr>
              <w:t>Colaço</w:t>
            </w:r>
            <w:proofErr w:type="spellEnd"/>
            <w:r w:rsidRPr="00C969C1">
              <w:rPr>
                <w:i/>
                <w:iCs/>
              </w:rPr>
              <w:t xml:space="preserve"> Mestre e SIC – </w:t>
            </w:r>
            <w:proofErr w:type="spellStart"/>
            <w:r w:rsidRPr="00C969C1">
              <w:rPr>
                <w:i/>
                <w:iCs/>
              </w:rPr>
              <w:t>Sociedade</w:t>
            </w:r>
            <w:proofErr w:type="spellEnd"/>
            <w:r w:rsidRPr="00C969C1">
              <w:rPr>
                <w:i/>
                <w:iCs/>
              </w:rPr>
              <w:t xml:space="preserve"> </w:t>
            </w:r>
            <w:proofErr w:type="spellStart"/>
            <w:r w:rsidRPr="00C969C1">
              <w:rPr>
                <w:i/>
                <w:iCs/>
              </w:rPr>
              <w:t>Independente</w:t>
            </w:r>
            <w:proofErr w:type="spellEnd"/>
            <w:r w:rsidRPr="00C969C1">
              <w:rPr>
                <w:i/>
                <w:iCs/>
              </w:rPr>
              <w:t xml:space="preserve"> de </w:t>
            </w:r>
            <w:proofErr w:type="spellStart"/>
            <w:r w:rsidRPr="00C969C1">
              <w:rPr>
                <w:i/>
                <w:iCs/>
              </w:rPr>
              <w:t>Comunicação</w:t>
            </w:r>
            <w:proofErr w:type="spellEnd"/>
            <w:r w:rsidRPr="00C969C1">
              <w:rPr>
                <w:i/>
                <w:iCs/>
              </w:rPr>
              <w:t xml:space="preserve">, S.A. c. Portogallo, </w:t>
            </w:r>
            <w:proofErr w:type="spellStart"/>
            <w:r w:rsidRPr="00C969C1">
              <w:rPr>
                <w:i/>
                <w:iCs/>
              </w:rPr>
              <w:t>nn</w:t>
            </w:r>
            <w:proofErr w:type="spellEnd"/>
            <w:r w:rsidRPr="00C969C1">
              <w:rPr>
                <w:i/>
                <w:iCs/>
              </w:rPr>
              <w:t xml:space="preserve">. 11182/03 e 11319/03, § 27, 26 aprile 2007). Anche le rivelazioni concernenti fatti d’attualità o dibattiti preesistenti possono giovare all’interesse generale (si veda </w:t>
            </w:r>
            <w:proofErr w:type="spellStart"/>
            <w:r w:rsidRPr="00C969C1">
              <w:rPr>
                <w:i/>
                <w:iCs/>
              </w:rPr>
              <w:t>Couderc</w:t>
            </w:r>
            <w:proofErr w:type="spellEnd"/>
            <w:r w:rsidRPr="00C969C1">
              <w:rPr>
                <w:i/>
                <w:iCs/>
              </w:rPr>
              <w:t xml:space="preserve"> e Hachette </w:t>
            </w:r>
            <w:proofErr w:type="spellStart"/>
            <w:r w:rsidRPr="00C969C1">
              <w:rPr>
                <w:i/>
                <w:iCs/>
              </w:rPr>
              <w:t>Filipacchi</w:t>
            </w:r>
            <w:proofErr w:type="spellEnd"/>
            <w:r w:rsidRPr="00C969C1">
              <w:rPr>
                <w:i/>
                <w:iCs/>
              </w:rPr>
              <w:t xml:space="preserve"> </w:t>
            </w:r>
            <w:proofErr w:type="spellStart"/>
            <w:r w:rsidRPr="00C969C1">
              <w:rPr>
                <w:i/>
                <w:iCs/>
              </w:rPr>
              <w:t>Associé</w:t>
            </w:r>
            <w:proofErr w:type="spellEnd"/>
            <w:r w:rsidRPr="00C969C1">
              <w:rPr>
                <w:i/>
                <w:iCs/>
              </w:rPr>
              <w:t xml:space="preserve">, sopra citata, § 114). Infatti, i dibattiti pubblici non sono immobili nel tempo, e, come ha osservato la MLA, “l’atteggiamento dei cittadini verso le questioni di interesse generale evolve con il tempo” (si veda il paragrafo 98 </w:t>
            </w:r>
            <w:proofErr w:type="spellStart"/>
            <w:r w:rsidRPr="00C969C1">
              <w:rPr>
                <w:i/>
                <w:iCs/>
              </w:rPr>
              <w:t>supra</w:t>
            </w:r>
            <w:proofErr w:type="spellEnd"/>
            <w:r w:rsidRPr="00C969C1">
              <w:rPr>
                <w:i/>
                <w:iCs/>
              </w:rPr>
              <w:t>). Di conseguenza, secondo la Corte, il semplice fatto che il dibattito pubblico sulle pratiche fiscali del </w:t>
            </w:r>
            <w:bookmarkStart w:id="50" w:name="hitd0p230"/>
            <w:r w:rsidRPr="00C969C1">
              <w:rPr>
                <w:i/>
                <w:iCs/>
              </w:rPr>
              <w:t>Lussemburgo</w:t>
            </w:r>
            <w:bookmarkEnd w:id="50"/>
            <w:r w:rsidRPr="00C969C1">
              <w:rPr>
                <w:i/>
                <w:iCs/>
              </w:rPr>
              <w:t> fosse già in corso quando il ricorrente aveva rivelato le informazioni impugnate non può di per sé escludere l’eventualità che anche esse potessero essere di pubblico interesse ai fini di tale dibattito, il quale aveva suscitato controversie sulle pratiche fiscali delle società in Europa e in particolare in Francia (si vedano i paragrafi da 186 a 191 infra), e sul legittimo interesse del pubblico a venirne a conoscenza.</w:t>
            </w:r>
            <w:r w:rsidRPr="00C969C1">
              <w:rPr>
                <w:i/>
                <w:iCs/>
              </w:rPr>
              <w:br/>
              <w:t>‒L’interesse pubblico presentato dalle informazioni divulgate</w:t>
            </w:r>
            <w:r w:rsidRPr="00C969C1">
              <w:rPr>
                <w:i/>
                <w:iCs/>
              </w:rPr>
              <w:br/>
              <w:t xml:space="preserve">185. La Corte anzitutto rinvia ai principi generali concernenti il criterio dell’interesse pubblico (si vedano i paragrafi 133-144 </w:t>
            </w:r>
            <w:proofErr w:type="spellStart"/>
            <w:r w:rsidRPr="00C969C1">
              <w:rPr>
                <w:i/>
                <w:iCs/>
              </w:rPr>
              <w:t>supra</w:t>
            </w:r>
            <w:proofErr w:type="spellEnd"/>
            <w:r w:rsidRPr="00C969C1">
              <w:rPr>
                <w:i/>
                <w:iCs/>
              </w:rPr>
              <w:t xml:space="preserve">). Ribadisce inoltre che, in linea generale, la questione dell’imposizione fiscale è indubbiamente di interesse generale per la collettività (si veda </w:t>
            </w:r>
            <w:proofErr w:type="spellStart"/>
            <w:r w:rsidRPr="00C969C1">
              <w:rPr>
                <w:i/>
                <w:iCs/>
              </w:rPr>
              <w:t>Taffin</w:t>
            </w:r>
            <w:proofErr w:type="spellEnd"/>
            <w:r w:rsidRPr="00C969C1">
              <w:rPr>
                <w:i/>
                <w:iCs/>
              </w:rPr>
              <w:t xml:space="preserve"> e </w:t>
            </w:r>
            <w:proofErr w:type="spellStart"/>
            <w:r w:rsidRPr="00C969C1">
              <w:rPr>
                <w:i/>
                <w:iCs/>
              </w:rPr>
              <w:t>Contribuables</w:t>
            </w:r>
            <w:proofErr w:type="spellEnd"/>
            <w:r w:rsidRPr="00C969C1">
              <w:rPr>
                <w:i/>
                <w:iCs/>
              </w:rPr>
              <w:t xml:space="preserve"> </w:t>
            </w:r>
            <w:proofErr w:type="spellStart"/>
            <w:r w:rsidRPr="00C969C1">
              <w:rPr>
                <w:i/>
                <w:iCs/>
              </w:rPr>
              <w:t>Associés</w:t>
            </w:r>
            <w:proofErr w:type="spellEnd"/>
            <w:r w:rsidRPr="00C969C1">
              <w:rPr>
                <w:i/>
                <w:iCs/>
              </w:rPr>
              <w:t xml:space="preserve"> c. Francia, n. 42396/04, § 50, 18 febbraio 2010). Al riguardo la Corte osserva che essa ha già riconosciuto, in un altro contesto, che la disponibilità di informazioni sui dati fiscali come pure la pubblicazione di avvisi di accertamento tributario possono contribuire al dibattito pubblico su una questione di interesse generale (si vedano, rispettivamente, </w:t>
            </w:r>
            <w:proofErr w:type="spellStart"/>
            <w:r w:rsidRPr="00C969C1">
              <w:rPr>
                <w:i/>
                <w:iCs/>
              </w:rPr>
              <w:t>Satakunnan</w:t>
            </w:r>
            <w:proofErr w:type="spellEnd"/>
            <w:r w:rsidRPr="00C969C1">
              <w:rPr>
                <w:i/>
                <w:iCs/>
              </w:rPr>
              <w:t xml:space="preserve"> </w:t>
            </w:r>
            <w:proofErr w:type="spellStart"/>
            <w:r w:rsidRPr="00C969C1">
              <w:rPr>
                <w:i/>
                <w:iCs/>
              </w:rPr>
              <w:t>Markkinapörssi</w:t>
            </w:r>
            <w:proofErr w:type="spellEnd"/>
            <w:r w:rsidRPr="00C969C1">
              <w:rPr>
                <w:i/>
                <w:iCs/>
              </w:rPr>
              <w:t xml:space="preserve"> </w:t>
            </w:r>
            <w:proofErr w:type="spellStart"/>
            <w:r w:rsidRPr="00C969C1">
              <w:rPr>
                <w:i/>
                <w:iCs/>
              </w:rPr>
              <w:t>Oy</w:t>
            </w:r>
            <w:proofErr w:type="spellEnd"/>
            <w:r w:rsidRPr="00C969C1">
              <w:rPr>
                <w:i/>
                <w:iCs/>
              </w:rPr>
              <w:t xml:space="preserve"> e </w:t>
            </w:r>
            <w:proofErr w:type="spellStart"/>
            <w:r w:rsidRPr="00C969C1">
              <w:rPr>
                <w:i/>
                <w:iCs/>
              </w:rPr>
              <w:t>Satamedia</w:t>
            </w:r>
            <w:proofErr w:type="spellEnd"/>
            <w:r w:rsidRPr="00C969C1">
              <w:rPr>
                <w:i/>
                <w:iCs/>
              </w:rPr>
              <w:t xml:space="preserve"> </w:t>
            </w:r>
            <w:proofErr w:type="spellStart"/>
            <w:r w:rsidRPr="00C969C1">
              <w:rPr>
                <w:i/>
                <w:iCs/>
              </w:rPr>
              <w:t>Oy</w:t>
            </w:r>
            <w:proofErr w:type="spellEnd"/>
            <w:r w:rsidRPr="00C969C1">
              <w:rPr>
                <w:i/>
                <w:iCs/>
              </w:rPr>
              <w:t xml:space="preserve">, sopra citata, § 172, e </w:t>
            </w:r>
            <w:proofErr w:type="spellStart"/>
            <w:r w:rsidRPr="00C969C1">
              <w:rPr>
                <w:i/>
                <w:iCs/>
              </w:rPr>
              <w:t>Fressoz</w:t>
            </w:r>
            <w:proofErr w:type="spellEnd"/>
            <w:r w:rsidRPr="00C969C1">
              <w:rPr>
                <w:i/>
                <w:iCs/>
              </w:rPr>
              <w:t xml:space="preserve"> e </w:t>
            </w:r>
            <w:proofErr w:type="spellStart"/>
            <w:r w:rsidRPr="00C969C1">
              <w:rPr>
                <w:i/>
                <w:iCs/>
              </w:rPr>
              <w:t>Roire</w:t>
            </w:r>
            <w:proofErr w:type="spellEnd"/>
            <w:r w:rsidRPr="00C969C1">
              <w:rPr>
                <w:i/>
                <w:iCs/>
              </w:rPr>
              <w:t>, sopra citata, § 50). Nel caso di specie la Corte di appello ha ammesso che le rivelazioni effettuate dal ricorrente e da A.D. erano di interesse pubblico e che avevano “aperto la strada al dibattito pubblico in Europa e nel </w:t>
            </w:r>
            <w:bookmarkStart w:id="51" w:name="hitd0p234"/>
            <w:r w:rsidRPr="00C969C1">
              <w:rPr>
                <w:i/>
                <w:iCs/>
              </w:rPr>
              <w:t>Lussemburgo</w:t>
            </w:r>
            <w:bookmarkEnd w:id="51"/>
            <w:r w:rsidRPr="00C969C1">
              <w:rPr>
                <w:i/>
                <w:iCs/>
              </w:rPr>
              <w:t xml:space="preserve"> sulla tassazione societaria, in particolare sulla tassazione delle società multinazionali, sulla trasparenza fiscale, sulla pratica degli ATA e sull’equità fiscale in generale” (si veda il paragrafo 32 </w:t>
            </w:r>
            <w:proofErr w:type="spellStart"/>
            <w:r w:rsidRPr="00C969C1">
              <w:rPr>
                <w:i/>
                <w:iCs/>
              </w:rPr>
              <w:t>supra</w:t>
            </w:r>
            <w:proofErr w:type="spellEnd"/>
            <w:r w:rsidRPr="00C969C1">
              <w:rPr>
                <w:i/>
                <w:iCs/>
              </w:rPr>
              <w:t>). Quanto alla questione di sapere se le informazioni rivelate dal ricorrente riguardassero una materia di interesse pubblico, la Corte non vede motivo di discostarsi dalle conclusioni della Corte di appello, che sono conformi alla sua giurisprudenza per quanto riguarda il criterio dell’interesse pubblico, secondo le quali le pratiche messe in luce dal ricorrente potevano essere ritenute allarmanti o scandalose.</w:t>
            </w:r>
            <w:r w:rsidRPr="00C969C1">
              <w:rPr>
                <w:i/>
                <w:iCs/>
              </w:rPr>
              <w:br/>
            </w:r>
            <w:r w:rsidRPr="00C969C1">
              <w:rPr>
                <w:i/>
                <w:iCs/>
              </w:rPr>
              <w:lastRenderedPageBreak/>
              <w:t xml:space="preserve">186. La Corte prende nota dei rilievi presentati dal ricorrente, che accusa la Corte di appello di avere, nel caso di specie, limitato la portata dell’interesse pubblico presentato dalle rivelazioni contestate e di conseguenza la loro importanza rispetto al danno provocato (si veda il paragrafo 68 </w:t>
            </w:r>
            <w:proofErr w:type="spellStart"/>
            <w:r w:rsidRPr="00C969C1">
              <w:rPr>
                <w:i/>
                <w:iCs/>
              </w:rPr>
              <w:t>supra</w:t>
            </w:r>
            <w:proofErr w:type="spellEnd"/>
            <w:r w:rsidRPr="00C969C1">
              <w:rPr>
                <w:i/>
                <w:iCs/>
              </w:rPr>
              <w:t xml:space="preserve">). Essa prende altresì nota dei rilievi del Governo che, dal canto suo, contesta che la Corte di appello abbia applicato una interpretazione restrittiva del concetto di interesse pubblico (si veda il paragrafo 88 </w:t>
            </w:r>
            <w:proofErr w:type="spellStart"/>
            <w:r w:rsidRPr="00C969C1">
              <w:rPr>
                <w:i/>
                <w:iCs/>
              </w:rPr>
              <w:t>supra</w:t>
            </w:r>
            <w:proofErr w:type="spellEnd"/>
            <w:r w:rsidRPr="00C969C1">
              <w:rPr>
                <w:i/>
                <w:iCs/>
              </w:rPr>
              <w:t>). Pur non negando che le informazioni rivelate dal ricorrente abbiano contribuito al dibattito sulle pratiche fiscali di alcune società, il Governo ha sostenuto tuttavia che occorreva tenere conto, come aveva fatto la Corte di appello, della “limitata rilevanza” dei documenti divulgati per tale dibattito.</w:t>
            </w:r>
            <w:r w:rsidRPr="00C969C1">
              <w:rPr>
                <w:i/>
                <w:iCs/>
              </w:rPr>
              <w:br/>
              <w:t xml:space="preserve">187. A tale proposito la Corte sottolinea che la segnalazione di illeciti o irregolarità non è intesa soltanto a rivelare e attirare l’attenzione su informazioni di interesse pubblico, ma anche a determinare un cambiamento della situazione cui si riferiscono le informazioni se necessario grazie a misure correttive adottate dalle autorità pubbliche competenti o dai privati coinvolti, come le società. Tuttavia, come osservato dalla MLA (si veda il paragrafo 97 </w:t>
            </w:r>
            <w:proofErr w:type="spellStart"/>
            <w:r w:rsidRPr="00C969C1">
              <w:rPr>
                <w:i/>
                <w:iCs/>
              </w:rPr>
              <w:t>supra</w:t>
            </w:r>
            <w:proofErr w:type="spellEnd"/>
            <w:r w:rsidRPr="00C969C1">
              <w:rPr>
                <w:i/>
                <w:iCs/>
              </w:rPr>
              <w:t>), talvolta è necessario lanciare più volte l’allarme sullo stesso tema prima che le autorità pubbliche si occupino effettivamente delle denunce o per mobilitare la società nel suo insieme consentendole di esercitare una maggiore vigilanza. Di conseguenza, a giudizio della Corte, il fatto che fosse già in corso un dibattito sulle pratiche di elusione e ottimizzazione fiscale nel </w:t>
            </w:r>
            <w:bookmarkStart w:id="52" w:name="hitd0p238"/>
            <w:r w:rsidRPr="00C969C1">
              <w:rPr>
                <w:i/>
                <w:iCs/>
              </w:rPr>
              <w:t>Lussemburgo</w:t>
            </w:r>
            <w:bookmarkEnd w:id="52"/>
            <w:r w:rsidRPr="00C969C1">
              <w:rPr>
                <w:i/>
                <w:iCs/>
              </w:rPr>
              <w:t>, quando erano stati divulgati i documenti impugnati, non è sufficiente a diminuirne la rilevanza.</w:t>
            </w:r>
            <w:r w:rsidRPr="00C969C1">
              <w:rPr>
                <w:i/>
                <w:iCs/>
              </w:rPr>
              <w:br/>
              <w:t xml:space="preserve">188. Nel caso di specie, anche presupponendo, come ha ritenuto la Corte di appello, che le dichiarazioni dei redditi in questione non fossero in grado di fornire informazioni sulla pratica degli ATA o sulle prassi messe in atto dalle autorità fiscali lussemburghesi (si veda il paragrafo 35 </w:t>
            </w:r>
            <w:proofErr w:type="spellStart"/>
            <w:r w:rsidRPr="00C969C1">
              <w:rPr>
                <w:i/>
                <w:iCs/>
              </w:rPr>
              <w:t>supra</w:t>
            </w:r>
            <w:proofErr w:type="spellEnd"/>
            <w:r w:rsidRPr="00C969C1">
              <w:rPr>
                <w:i/>
                <w:iCs/>
              </w:rPr>
              <w:t xml:space="preserve">), resta il fatto che esse costituivano informazioni rilevanti. La dichiarazione dei redditi “informa le autorità sulle decisioni adottate dal contribuente in materia fiscale” e formula “richieste di detrazioni e di applicazione delle varie opzioni fiscali previste dalla legge </w:t>
            </w:r>
            <w:proofErr w:type="gramStart"/>
            <w:r w:rsidRPr="00C969C1">
              <w:rPr>
                <w:i/>
                <w:iCs/>
              </w:rPr>
              <w:t>“ (</w:t>
            </w:r>
            <w:proofErr w:type="gramEnd"/>
            <w:r w:rsidRPr="00C969C1">
              <w:rPr>
                <w:i/>
                <w:iCs/>
              </w:rPr>
              <w:t xml:space="preserve">si veda il paragrafo 28 </w:t>
            </w:r>
            <w:proofErr w:type="spellStart"/>
            <w:r w:rsidRPr="00C969C1">
              <w:rPr>
                <w:i/>
                <w:iCs/>
              </w:rPr>
              <w:t>supra</w:t>
            </w:r>
            <w:proofErr w:type="spellEnd"/>
            <w:r w:rsidRPr="00C969C1">
              <w:rPr>
                <w:i/>
                <w:iCs/>
              </w:rPr>
              <w:t>). Pertanto, benché sia vero che gli ATA e le dichiarazioni dei redditi sono due tipi di documenti che rinviano a pratiche fiscali diverse, la rivelazione di tali due tipi di documenti ha tuttavia contribuito, nel caso di specie, a tracciare un quadro delle pratiche fiscali vigenti nel </w:t>
            </w:r>
            <w:bookmarkStart w:id="53" w:name="hitd0p242"/>
            <w:r w:rsidRPr="00C969C1">
              <w:rPr>
                <w:i/>
                <w:iCs/>
              </w:rPr>
              <w:t>Lussemburgo</w:t>
            </w:r>
            <w:bookmarkEnd w:id="53"/>
            <w:r w:rsidRPr="00C969C1">
              <w:rPr>
                <w:i/>
                <w:iCs/>
              </w:rPr>
              <w:t xml:space="preserve">, del loro impatto a livello europeo, e delle strategie fiscali adottate da rinomate società multinazionali per trasferire artificialmente i profitti in paesi a bassa imposizione fiscale erodendo in tal modo le basi imponibili degli altri Stati (si vedano i paragrafi 32 e 35 </w:t>
            </w:r>
            <w:proofErr w:type="spellStart"/>
            <w:r w:rsidRPr="00C969C1">
              <w:rPr>
                <w:i/>
                <w:iCs/>
              </w:rPr>
              <w:t>supra</w:t>
            </w:r>
            <w:proofErr w:type="spellEnd"/>
            <w:r w:rsidRPr="00C969C1">
              <w:rPr>
                <w:i/>
                <w:iCs/>
              </w:rPr>
              <w:t>).</w:t>
            </w:r>
            <w:r w:rsidRPr="00C969C1">
              <w:rPr>
                <w:i/>
                <w:iCs/>
              </w:rPr>
              <w:br/>
              <w:t xml:space="preserve">189. Alla luce di tali circostanze la Corte ritiene che le informazioni impugnate non soltanto potessero essere considerate “allarmanti o scandalose”, come affermato dalla Corte di appello, ma fornissero anche un nuovo spaccato, la cui importanza non deve essere minimizzata, nel contesto del dibattito sulla “elusione fiscale, l’esenzione fiscale e l’evasione fiscale” (si veda il paragrafo 32 </w:t>
            </w:r>
            <w:proofErr w:type="spellStart"/>
            <w:r w:rsidRPr="00C969C1">
              <w:rPr>
                <w:i/>
                <w:iCs/>
              </w:rPr>
              <w:t>supra</w:t>
            </w:r>
            <w:proofErr w:type="spellEnd"/>
            <w:r w:rsidRPr="00C969C1">
              <w:rPr>
                <w:i/>
                <w:iCs/>
              </w:rPr>
              <w:t>), mettendo a disposizione informazioni sull’ammontare dei profitti dichiarati dalle società multinazionali in questione, sulle scelte politiche effettuate dal </w:t>
            </w:r>
            <w:bookmarkStart w:id="54" w:name="hitd0p246"/>
            <w:r w:rsidRPr="00C969C1">
              <w:rPr>
                <w:i/>
                <w:iCs/>
              </w:rPr>
              <w:t>Lussemburgo</w:t>
            </w:r>
            <w:bookmarkEnd w:id="54"/>
            <w:r w:rsidRPr="00C969C1">
              <w:rPr>
                <w:i/>
                <w:iCs/>
              </w:rPr>
              <w:t xml:space="preserve"> in materia di imposizione societaria, e sulle loro implicazioni in termini di equità e giustizia fiscali a livello europeo (si vedano i paragrafi 23 e 32 </w:t>
            </w:r>
            <w:proofErr w:type="spellStart"/>
            <w:r w:rsidRPr="00C969C1">
              <w:rPr>
                <w:i/>
                <w:iCs/>
              </w:rPr>
              <w:t>supra</w:t>
            </w:r>
            <w:proofErr w:type="spellEnd"/>
            <w:r w:rsidRPr="00C969C1">
              <w:rPr>
                <w:i/>
                <w:iCs/>
              </w:rPr>
              <w:t>), e in particolare in Francia.</w:t>
            </w:r>
            <w:r w:rsidRPr="00C969C1">
              <w:rPr>
                <w:i/>
                <w:iCs/>
              </w:rPr>
              <w:br/>
              <w:t xml:space="preserve">190. La Corte osserva inoltre che la Corte di appello ha tenuto conto del fatto che il ricorrente non aveva selezionato le dichiarazioni dei redditi da divulgare per integrare gli ATA già in possesso del </w:t>
            </w:r>
            <w:r w:rsidRPr="00C969C1">
              <w:rPr>
                <w:i/>
                <w:iCs/>
              </w:rPr>
              <w:lastRenderedPageBreak/>
              <w:t xml:space="preserve">giornalista, ma soltanto per via della notorietà delle società multinazionali in questione (si veda il paragrafo 35 </w:t>
            </w:r>
            <w:proofErr w:type="spellStart"/>
            <w:r w:rsidRPr="00C969C1">
              <w:rPr>
                <w:i/>
                <w:iCs/>
              </w:rPr>
              <w:t>supra</w:t>
            </w:r>
            <w:proofErr w:type="spellEnd"/>
            <w:r w:rsidRPr="00C969C1">
              <w:rPr>
                <w:i/>
                <w:iCs/>
              </w:rPr>
              <w:t xml:space="preserve">). Diversamente dalla Corte di appello, però, la Corte ritiene che il grado di notorietà delle multinazionali in questione non fosse privo di pertinenza e di importanza nel contesto del dibattito iniziato dopo la prima trasmissione del programma Cash </w:t>
            </w:r>
            <w:proofErr w:type="spellStart"/>
            <w:r w:rsidRPr="00C969C1">
              <w:rPr>
                <w:i/>
                <w:iCs/>
              </w:rPr>
              <w:t>Investigation</w:t>
            </w:r>
            <w:proofErr w:type="spellEnd"/>
            <w:r w:rsidRPr="00C969C1">
              <w:rPr>
                <w:i/>
                <w:iCs/>
              </w:rPr>
              <w:t xml:space="preserve">. Benché le complesse costruzioni giuridiche e finanziarie su cui si basano le pratiche di ottimizzazione fiscale siano ardue da comprendere per i non specialisti e più in generale per il grande pubblico, la portata delle dichiarazioni dei redditi che, come indicato dalla Corte di appello, forniscono informazioni sulla situazione finanziaria e patrimoniale delle società (si veda il paragrafo 28 </w:t>
            </w:r>
            <w:proofErr w:type="spellStart"/>
            <w:r w:rsidRPr="00C969C1">
              <w:rPr>
                <w:i/>
                <w:iCs/>
              </w:rPr>
              <w:t>supra</w:t>
            </w:r>
            <w:proofErr w:type="spellEnd"/>
            <w:r w:rsidRPr="00C969C1">
              <w:rPr>
                <w:i/>
                <w:iCs/>
              </w:rPr>
              <w:t>), viceversa, è molto più facile da cogliere.</w:t>
            </w:r>
            <w:r w:rsidRPr="00C969C1">
              <w:rPr>
                <w:i/>
                <w:iCs/>
              </w:rPr>
              <w:br/>
              <w:t>191. Poiché esse riguardavano anche società multinazionali note al grande pubblico, tali dichiarazioni dei redditi erano fortemente esplicative delle pratiche fiscali vigenti nel </w:t>
            </w:r>
            <w:bookmarkStart w:id="55" w:name="hitd0p250"/>
            <w:r w:rsidRPr="00C969C1">
              <w:rPr>
                <w:i/>
                <w:iCs/>
              </w:rPr>
              <w:t>Lussemburgo</w:t>
            </w:r>
            <w:bookmarkEnd w:id="55"/>
            <w:r w:rsidRPr="00C969C1">
              <w:rPr>
                <w:i/>
                <w:iCs/>
              </w:rPr>
              <w:t xml:space="preserve"> e delle scelte fiscali delle società che ne beneficiavano. Qualunque contribuente soggetto a imposizione fiscale è in grado di comprendere un documento come la dichiarazione dei redditi. </w:t>
            </w:r>
            <w:proofErr w:type="gramStart"/>
            <w:r w:rsidRPr="00C969C1">
              <w:rPr>
                <w:i/>
                <w:iCs/>
              </w:rPr>
              <w:t>Pertanto</w:t>
            </w:r>
            <w:proofErr w:type="gramEnd"/>
            <w:r w:rsidRPr="00C969C1">
              <w:rPr>
                <w:i/>
                <w:iCs/>
              </w:rPr>
              <w:t xml:space="preserve"> i documenti divulgati dal ricorrente avevano contribuito alla trasparenza delle prassi fiscali di società multinazionali che cercavano di giovarsi dell’ubicazione in paesi in cui il sistema fiscale era più vantaggioso e, in tal senso, potevano aiutare il pubblico a formarsi un’opinione informata su una materia di grande complessità tecnica, come la tassazione delle società, ma che riguarda importanti questioni economiche e sociali.</w:t>
            </w:r>
            <w:r w:rsidRPr="00C969C1">
              <w:rPr>
                <w:i/>
                <w:iCs/>
              </w:rPr>
              <w:br/>
              <w:t>192. La Corte ritiene inoltre che l’importanza dell’interesse pubblico presentato dalle rivelazioni contestate non possa essere valutata indipendentemente dalla posizione che attualmente occupano le società multinazionali globali sia in campo economico che sociale. Occorre prendere in considerazione anche il ruolo delle entrate fiscali nelle economie e nei bilanci degli Stati e le considerevoli sfide poste ai governi da strategie fiscali quali il trasferimento degli utili, cui possono ricorrere alcune società multinazionali. La Corte ne deduce che le informazioni relative alle prassi fiscali di società multinazionali come quelle le cui dichiarazioni fiscali il ricorrente aveva reso pubbliche, avevano indubbiamente contribuito al dibattito corrente, originato all’inizio dalle rivelazioni di A.D., sull’evasione fiscale, sulla trasparenza, sull’equità e sulla giustizia fiscale. È indubbio che si tratti di informazioni la cui divulgazione presenta interesse per l’opinione pubblica dello stesso </w:t>
            </w:r>
            <w:bookmarkStart w:id="56" w:name="hitd0p254"/>
            <w:r w:rsidRPr="00C969C1">
              <w:rPr>
                <w:i/>
                <w:iCs/>
              </w:rPr>
              <w:t>Lussemburgo</w:t>
            </w:r>
            <w:bookmarkEnd w:id="56"/>
            <w:r w:rsidRPr="00C969C1">
              <w:rPr>
                <w:i/>
                <w:iCs/>
              </w:rPr>
              <w:t>, la cui politica fiscale era stata direttamente chiamata in causa, dell’Europa e degli altri Stati le cui entrate fiscali potevano essere compromesse dalle pratiche rivelate.</w:t>
            </w:r>
            <w:r w:rsidRPr="00C969C1">
              <w:rPr>
                <w:i/>
                <w:iCs/>
              </w:rPr>
              <w:br/>
              <w:t>‒Gli effetti lesivi</w:t>
            </w:r>
            <w:r w:rsidRPr="00C969C1">
              <w:rPr>
                <w:i/>
                <w:iCs/>
              </w:rPr>
              <w:br/>
              <w:t xml:space="preserve">193. In risposta all’invito del ricorrente ad abbandonare il criterio del danno provocato al datore di lavoro (si veda il paragrafo 73 </w:t>
            </w:r>
            <w:proofErr w:type="spellStart"/>
            <w:r w:rsidRPr="00C969C1">
              <w:rPr>
                <w:i/>
                <w:iCs/>
              </w:rPr>
              <w:t>supra</w:t>
            </w:r>
            <w:proofErr w:type="spellEnd"/>
            <w:r w:rsidRPr="00C969C1">
              <w:rPr>
                <w:i/>
                <w:iCs/>
              </w:rPr>
              <w:t xml:space="preserve">), la Corte ribadisce che tale criterio conserva la sua rilevanza ai fini del suo esame della proporzionalità o meno di una misura che sanziona la divulgazione da parte dell’autore di una segnalazione di informazioni di interesse pubblico. È tuttavia opportuno estenderlo, prendendo in considerazione, sull’altro piatto della bilancia, l’insieme degli effetti lesivi derivanti dalle impugnate rivelazioni (si veda il paragrafo 148 </w:t>
            </w:r>
            <w:proofErr w:type="spellStart"/>
            <w:r w:rsidRPr="00C969C1">
              <w:rPr>
                <w:i/>
                <w:iCs/>
              </w:rPr>
              <w:t>supra</w:t>
            </w:r>
            <w:proofErr w:type="spellEnd"/>
            <w:r w:rsidRPr="00C969C1">
              <w:rPr>
                <w:i/>
                <w:iCs/>
              </w:rPr>
              <w:t>).</w:t>
            </w:r>
            <w:r w:rsidRPr="00C969C1">
              <w:rPr>
                <w:i/>
                <w:iCs/>
              </w:rPr>
              <w:br/>
              <w:t>194. A tale proposito, la Corte osserva, in primo luogo, che la Corte di appello aveva affermato che il datore di lavoro del ricorrente (la PwC) era stato “</w:t>
            </w:r>
            <w:proofErr w:type="spellStart"/>
            <w:r w:rsidRPr="00C969C1">
              <w:rPr>
                <w:i/>
                <w:iCs/>
              </w:rPr>
              <w:t>associat</w:t>
            </w:r>
            <w:proofErr w:type="spellEnd"/>
            <w:r w:rsidRPr="00C969C1">
              <w:rPr>
                <w:i/>
                <w:iCs/>
              </w:rPr>
              <w:t xml:space="preserve">[o] alla pratica dell’evasione fiscale, quando non a un’ottimizzazione fiscale descritta come inaccettabile”, “[era] </w:t>
            </w:r>
            <w:proofErr w:type="spellStart"/>
            <w:r w:rsidRPr="00C969C1">
              <w:rPr>
                <w:i/>
                <w:iCs/>
              </w:rPr>
              <w:t>stat</w:t>
            </w:r>
            <w:proofErr w:type="spellEnd"/>
            <w:r w:rsidRPr="00C969C1">
              <w:rPr>
                <w:i/>
                <w:iCs/>
              </w:rPr>
              <w:t xml:space="preserve">[o] vittima di reato” </w:t>
            </w:r>
            <w:r w:rsidRPr="00C969C1">
              <w:rPr>
                <w:i/>
                <w:iCs/>
              </w:rPr>
              <w:lastRenderedPageBreak/>
              <w:t xml:space="preserve">e “[aveva] necessariamente subito un danno” (si veda il paragrafo 35 </w:t>
            </w:r>
            <w:proofErr w:type="spellStart"/>
            <w:r w:rsidRPr="00C969C1">
              <w:rPr>
                <w:i/>
                <w:iCs/>
              </w:rPr>
              <w:t>supra</w:t>
            </w:r>
            <w:proofErr w:type="spellEnd"/>
            <w:r w:rsidRPr="00C969C1">
              <w:rPr>
                <w:i/>
                <w:iCs/>
              </w:rPr>
              <w:t xml:space="preserve">). Secondo la Corte il danno subito dal datore di lavoro non può essere valutato soltanto con riferimento all’eventuale impatto economico delle rivelazioni contestate. Al pari della Camera (si veda il paragrafo 100 della sentenza della Camera), la Grande Camera ammette che la PwC abbia subito un certo danno alla reputazione, specialmente tra i suoi clienti, giacché le rivelazioni impugnate potevano suscitare interrogativi sulla sua capacità di garantire la riservatezza dei dati finanziari affidatile e delle operazioni fiscali svolte per loro conto. La </w:t>
            </w:r>
            <w:proofErr w:type="gramStart"/>
            <w:r w:rsidRPr="00C969C1">
              <w:rPr>
                <w:i/>
                <w:iCs/>
              </w:rPr>
              <w:t>Corte tuttavia</w:t>
            </w:r>
            <w:proofErr w:type="gramEnd"/>
            <w:r w:rsidRPr="00C969C1">
              <w:rPr>
                <w:i/>
                <w:iCs/>
              </w:rPr>
              <w:t xml:space="preserve"> osserva anche che non risultano accertati danni sul lungo periodo (si veda il paragrafo15 </w:t>
            </w:r>
            <w:proofErr w:type="spellStart"/>
            <w:r w:rsidRPr="00C969C1">
              <w:rPr>
                <w:i/>
                <w:iCs/>
              </w:rPr>
              <w:t>supra</w:t>
            </w:r>
            <w:proofErr w:type="spellEnd"/>
            <w:r w:rsidRPr="00C969C1">
              <w:rPr>
                <w:i/>
                <w:iCs/>
              </w:rPr>
              <w:t>).</w:t>
            </w:r>
            <w:r w:rsidRPr="00C969C1">
              <w:rPr>
                <w:i/>
                <w:iCs/>
              </w:rPr>
              <w:br/>
              <w:t xml:space="preserve">195. In secondo luogo, la Corte reputa necessario esaminare se le rivelazioni contestate abbiano colpito altri interessi (si veda il paragrafo 86 </w:t>
            </w:r>
            <w:proofErr w:type="spellStart"/>
            <w:r w:rsidRPr="00C969C1">
              <w:rPr>
                <w:i/>
                <w:iCs/>
              </w:rPr>
              <w:t>supra</w:t>
            </w:r>
            <w:proofErr w:type="spellEnd"/>
            <w:r w:rsidRPr="00C969C1">
              <w:rPr>
                <w:i/>
                <w:iCs/>
              </w:rPr>
              <w:t xml:space="preserve">). La circostanza che la divulgazione riguardi documenti in possesso di un datore di lavoro privato non esclude la possibilità che essa abbia colpito altri </w:t>
            </w:r>
            <w:proofErr w:type="gramStart"/>
            <w:r w:rsidRPr="00C969C1">
              <w:rPr>
                <w:i/>
                <w:iCs/>
              </w:rPr>
              <w:t>interessi</w:t>
            </w:r>
            <w:proofErr w:type="gramEnd"/>
            <w:r w:rsidRPr="00C969C1">
              <w:rPr>
                <w:i/>
                <w:iCs/>
              </w:rPr>
              <w:t xml:space="preserve"> oltre a quelli del datore di lavoro, anche interessi pubblici, giacché la valutazione della Corte deve riguardare l’insieme degli effetti lesivi derivanti dalle rivelazioni impugnate (si vedano i paragrafi 147-148 </w:t>
            </w:r>
            <w:proofErr w:type="spellStart"/>
            <w:r w:rsidRPr="00C969C1">
              <w:rPr>
                <w:i/>
                <w:iCs/>
              </w:rPr>
              <w:t>supra</w:t>
            </w:r>
            <w:proofErr w:type="spellEnd"/>
            <w:r w:rsidRPr="00C969C1">
              <w:rPr>
                <w:i/>
                <w:iCs/>
              </w:rPr>
              <w:t>).</w:t>
            </w:r>
            <w:r w:rsidRPr="00C969C1">
              <w:rPr>
                <w:i/>
                <w:iCs/>
              </w:rPr>
              <w:br/>
              <w:t xml:space="preserve">196. Al riguardo il Governo ha sostenuto, inter alia, che le rivelazioni in questione avevano inciso negativamente sugli interessi di coloro che avevano affidato al datore di lavoro del ricorrente il compito di ottimizzare la loro situazione fiscale e sull’interesse pubblico alla salvaguardia del segreto professionale (si veda il paragrafo 86 </w:t>
            </w:r>
            <w:proofErr w:type="spellStart"/>
            <w:r w:rsidRPr="00C969C1">
              <w:rPr>
                <w:i/>
                <w:iCs/>
              </w:rPr>
              <w:t>supra</w:t>
            </w:r>
            <w:proofErr w:type="spellEnd"/>
            <w:r w:rsidRPr="00C969C1">
              <w:rPr>
                <w:i/>
                <w:iCs/>
              </w:rPr>
              <w:t>). Per quanto riguarda i clienti della PwC, viste le ripercussioni mediatiche e politiche seguite alla divulgazione delle dichiarazioni dei redditi in questione, la Corte riconosce che tale divulgazione poteva ledere, almeno in qualche misura, gli interessi privati e la reputazione delle società multinazionali le cui identità erano state rivelate all’opinione pubblica.</w:t>
            </w:r>
            <w:r w:rsidRPr="00C969C1">
              <w:rPr>
                <w:i/>
                <w:iCs/>
              </w:rPr>
              <w:br/>
              <w:t xml:space="preserve">197. Per quanto riguarda l’interesse pubblico asseritamente leso dalle rivelazioni, la Corte sottolinea che nel caso di specie non è in questione soltanto la rivelazione delle informazioni da parte del ricorrente, ma anche la sottrazione fraudolenta del supporto dati (si veda il paragrafo 27 </w:t>
            </w:r>
            <w:proofErr w:type="spellStart"/>
            <w:r w:rsidRPr="00C969C1">
              <w:rPr>
                <w:i/>
                <w:iCs/>
              </w:rPr>
              <w:t>supra</w:t>
            </w:r>
            <w:proofErr w:type="spellEnd"/>
            <w:r w:rsidRPr="00C969C1">
              <w:rPr>
                <w:i/>
                <w:iCs/>
              </w:rPr>
              <w:t xml:space="preserve">), e che a tale titolo occorre prendere in considerazione anche il pubblico interesse alla prevenzione e alla repressione del furto. La Corte sottolinea inoltre che il ricorrente non era vincolato soltanto dal dovere di lealtà e discrezione verso il datore di lavoro cui è tenuto ogni dipendente, ma anche dalla norma sul segreto professionale che prevale nello specifico campo di attività della PwC e che vincolava giuridicamente il ricorrente nell’esercizio delle sue attività professionali (si veda il paragrafo 29 </w:t>
            </w:r>
            <w:proofErr w:type="spellStart"/>
            <w:r w:rsidRPr="00C969C1">
              <w:rPr>
                <w:i/>
                <w:iCs/>
              </w:rPr>
              <w:t>supra</w:t>
            </w:r>
            <w:proofErr w:type="spellEnd"/>
            <w:r w:rsidRPr="00C969C1">
              <w:rPr>
                <w:i/>
                <w:iCs/>
              </w:rPr>
              <w:t>). La salvaguardia del segreto professionale è senza dubbio nell’interesse pubblico nella misura in cui il suo scopo è garantire la credibilità di alcune professioni favorendo il rapporto di fiducia tra professionista e cliente. Si tratta inoltre di un principio di ordine pubblico la cui violazione può essere punita dal diritto penale.</w:t>
            </w:r>
            <w:r w:rsidRPr="00C969C1">
              <w:rPr>
                <w:i/>
                <w:iCs/>
              </w:rPr>
              <w:br/>
              <w:t xml:space="preserve">198. Nel caso di specie, senza che sia necessario valutare la portata del segreto professionale cui era tenuto il ricorrente, una valutazione che spetta in primo luogo ai tribunali nazionali, la Corte osserva che la Corte di appello aveva ritenuto che il segreto nelle professioni disciplinate dalla legge fosse una questione di ordine pubblico e fosse destinato a proteggere tutti coloro che potevano entrare in contatto con un professionista. Aveva osservato anche che il segreto, in generale, era necessario per l’esercizio delle attività svolte dal datore di lavoro del ricorrente (si veda il paragrafo 29 </w:t>
            </w:r>
            <w:proofErr w:type="spellStart"/>
            <w:r w:rsidRPr="00C969C1">
              <w:rPr>
                <w:i/>
                <w:iCs/>
              </w:rPr>
              <w:t>supra</w:t>
            </w:r>
            <w:proofErr w:type="spellEnd"/>
            <w:r w:rsidRPr="00C969C1">
              <w:rPr>
                <w:i/>
                <w:iCs/>
              </w:rPr>
              <w:t>).</w:t>
            </w:r>
            <w:r w:rsidRPr="00C969C1">
              <w:rPr>
                <w:i/>
                <w:iCs/>
              </w:rPr>
              <w:br/>
            </w:r>
            <w:r w:rsidRPr="00C969C1">
              <w:rPr>
                <w:i/>
                <w:iCs/>
              </w:rPr>
              <w:lastRenderedPageBreak/>
              <w:t>199. Ad ogni modo la Corte di appello si è limitata a collocare sull’altro piatto della bilancia soltanto il danno subito dalla PwC, e ha tenuto conto unicamente del fatto che il datore di lavoro del ricorrente era stato “</w:t>
            </w:r>
            <w:proofErr w:type="spellStart"/>
            <w:r w:rsidRPr="00C969C1">
              <w:rPr>
                <w:i/>
                <w:iCs/>
              </w:rPr>
              <w:t>associat</w:t>
            </w:r>
            <w:proofErr w:type="spellEnd"/>
            <w:r w:rsidRPr="00C969C1">
              <w:rPr>
                <w:i/>
                <w:iCs/>
              </w:rPr>
              <w:t xml:space="preserve">[o] alla pratica dell’evasione fiscale, quando non a un’ottimizzazione fiscale”, era stato “vittima di reato” e aveva “necessariamente subito un danno” (si veda il paragrafo 35 </w:t>
            </w:r>
            <w:proofErr w:type="spellStart"/>
            <w:r w:rsidRPr="00C969C1">
              <w:rPr>
                <w:i/>
                <w:iCs/>
              </w:rPr>
              <w:t>supra</w:t>
            </w:r>
            <w:proofErr w:type="spellEnd"/>
            <w:r w:rsidRPr="00C969C1">
              <w:rPr>
                <w:i/>
                <w:iCs/>
              </w:rPr>
              <w:t>).</w:t>
            </w:r>
            <w:r w:rsidRPr="00C969C1">
              <w:rPr>
                <w:i/>
                <w:iCs/>
              </w:rPr>
              <w:br/>
              <w:t xml:space="preserve">200. A giudizio della Corte, in effetti, i criteri di valutazione utilizzati dalla Corte di appello in relazione al danno subito dalla PwC, ovvero “la lesione dell’immagine” e “la perdita della fiducia” (si veda il paragrafo 35 </w:t>
            </w:r>
            <w:proofErr w:type="spellStart"/>
            <w:r w:rsidRPr="00C969C1">
              <w:rPr>
                <w:i/>
                <w:iCs/>
              </w:rPr>
              <w:t>supra</w:t>
            </w:r>
            <w:proofErr w:type="spellEnd"/>
            <w:r w:rsidRPr="00C969C1">
              <w:rPr>
                <w:i/>
                <w:iCs/>
              </w:rPr>
              <w:t>) erano incontestabilmente pertinenti. La Corte di appello, però, si era limitata a formularli in termini generali, senza spiegare perché alla fine essa aveva ritenuto che tale danno, la cui natura e portata non erano state definite in modo circonstanziato, fosse “superiore all’interesse generale” presentato dalle contestate informazioni rivelate. La Corte conclude che la Corte di appello non ha collocato sull’altro piatto della bilancia tutti gli effetti lesivi di cui si sarebbe dovuto tenere conto.</w:t>
            </w:r>
            <w:r w:rsidRPr="00C969C1">
              <w:rPr>
                <w:i/>
                <w:iCs/>
              </w:rPr>
              <w:br/>
              <w:t>‒L’esito dell’esercizio di bilanciamento</w:t>
            </w:r>
            <w:r w:rsidRPr="00C969C1">
              <w:rPr>
                <w:i/>
                <w:iCs/>
              </w:rPr>
              <w:br/>
              <w:t xml:space="preserve">201. Alla luce delle suddette considerazioni, la Corte conclude che l’esercizio di bilanciamento svolto dai tribunali interni non ha soddisfatto i requisiti individuati nella presente causa (si vedano i paragrafi 131-148 </w:t>
            </w:r>
            <w:proofErr w:type="spellStart"/>
            <w:r w:rsidRPr="00C969C1">
              <w:rPr>
                <w:i/>
                <w:iCs/>
              </w:rPr>
              <w:t>supra</w:t>
            </w:r>
            <w:proofErr w:type="spellEnd"/>
            <w:r w:rsidRPr="00C969C1">
              <w:rPr>
                <w:i/>
                <w:iCs/>
              </w:rPr>
              <w:t xml:space="preserve">). Da un lato, la Corte di appello ha formulato un’interpretazione eccessivamente restrittiva dell’interesse pubblico presentato dalle informazioni divulgate (si vedano i paragrafi 32 e 35 </w:t>
            </w:r>
            <w:proofErr w:type="spellStart"/>
            <w:r w:rsidRPr="00C969C1">
              <w:rPr>
                <w:i/>
                <w:iCs/>
              </w:rPr>
              <w:t>supra</w:t>
            </w:r>
            <w:proofErr w:type="spellEnd"/>
            <w:r w:rsidRPr="00C969C1">
              <w:rPr>
                <w:i/>
                <w:iCs/>
              </w:rPr>
              <w:t>). Dall’altro, non ha posto sull’altro piatto della bilancia l’insieme degli effetti lesivi derivanti dalle rivelazioni in questione, limitandosi a concentrarsi sul danno subito dalla PwC. La Corte di appello, concludendo che soltanto tale danno, la cui ricaduta sugli affari e la reputazione di tale società non aveva esaminato, fosse superiore all’interesse pubblico presentato dalle informazioni divulgate, senza tenere conto anche del pregiudizio causato agli interessi privati dei clienti della PwC e dell’interesse pubblico alla prevenzione e alla repressione del furto e al rispetto del segreto professionale, non aveva tenuto conto a sufficienza, come avrebbe dovuto, delle specificità della presente causa.</w:t>
            </w:r>
            <w:r w:rsidRPr="00C969C1">
              <w:rPr>
                <w:i/>
                <w:iCs/>
              </w:rPr>
              <w:br/>
              <w:t xml:space="preserve">202. Date tali circostanze. spetta alla Corte stessa procedere all’esercizio di bilanciamento degli interessi coinvolti. A tale proposito ribadisce di aver riconosciuto che le informazioni rivelate dal ricorrente erano innegabilmente di pubblico interesse (si vedano i paragrafi 191-192 </w:t>
            </w:r>
            <w:proofErr w:type="spellStart"/>
            <w:r w:rsidRPr="00C969C1">
              <w:rPr>
                <w:i/>
                <w:iCs/>
              </w:rPr>
              <w:t>supra</w:t>
            </w:r>
            <w:proofErr w:type="spellEnd"/>
            <w:r w:rsidRPr="00C969C1">
              <w:rPr>
                <w:i/>
                <w:iCs/>
              </w:rPr>
              <w:t xml:space="preserve">), ma al contempo non può trascurare il fatto che le rivelazioni impugnate sono state possibili grazie al furto di dati e alla violazione del segreto professionale cui il ricorrente era tenuto. Ciò detto, essa prende atto dell’importanza relativa delle informazioni rivelate, tenuto conto della natura e del grado di rischio inerente alla loro divulgazione. Alla luce delle proprie conclusioni (si vedano i paragrafi 191-192 </w:t>
            </w:r>
            <w:proofErr w:type="spellStart"/>
            <w:r w:rsidRPr="00C969C1">
              <w:rPr>
                <w:i/>
                <w:iCs/>
              </w:rPr>
              <w:t>supra</w:t>
            </w:r>
            <w:proofErr w:type="spellEnd"/>
            <w:r w:rsidRPr="00C969C1">
              <w:rPr>
                <w:i/>
                <w:iCs/>
              </w:rPr>
              <w:t>) sull’importanza a livello nazionale ed europeo del dibattito pubblico sulle pratiche fiscali delle società multinazionali, al quale le informazioni rivelate dal ricorrente hanno apportato un contributo essenziale, la Corte ritiene che l’interesse pubblico presentato dalle informazioni rivelate prevalga sull’insieme degli effetti lesivi.</w:t>
            </w:r>
            <w:r w:rsidRPr="00C969C1">
              <w:rPr>
                <w:i/>
                <w:iCs/>
              </w:rPr>
              <w:br/>
              <w:t>203. Infine, per completare il suo esame della proporzionalità dell’ingerenza impugnata, la Corte deve ora valutare la severità della sanzione imposta al ricorrente.</w:t>
            </w:r>
            <w:r w:rsidRPr="00C969C1">
              <w:rPr>
                <w:i/>
                <w:iCs/>
              </w:rPr>
              <w:br/>
              <w:t>(ε)La severità della sanzione</w:t>
            </w:r>
            <w:r w:rsidRPr="00C969C1">
              <w:rPr>
                <w:i/>
                <w:iCs/>
              </w:rPr>
              <w:br/>
              <w:t xml:space="preserve">204. La Corte ribadisce che nell’ambito della valutazione della proporzionalità, a prescindere </w:t>
            </w:r>
            <w:r w:rsidRPr="00C969C1">
              <w:rPr>
                <w:i/>
                <w:iCs/>
              </w:rPr>
              <w:lastRenderedPageBreak/>
              <w:t xml:space="preserve">dall’eventuale mitezza della pena inflitta, ciò che conta è il fatto stesso della condanna dell’interessato (si veda </w:t>
            </w:r>
            <w:proofErr w:type="spellStart"/>
            <w:r w:rsidRPr="00C969C1">
              <w:rPr>
                <w:i/>
                <w:iCs/>
              </w:rPr>
              <w:t>Couderc</w:t>
            </w:r>
            <w:proofErr w:type="spellEnd"/>
            <w:r w:rsidRPr="00C969C1">
              <w:rPr>
                <w:i/>
                <w:iCs/>
              </w:rPr>
              <w:t xml:space="preserve"> e Hachette </w:t>
            </w:r>
            <w:proofErr w:type="spellStart"/>
            <w:r w:rsidRPr="00C969C1">
              <w:rPr>
                <w:i/>
                <w:iCs/>
              </w:rPr>
              <w:t>Filipacchi</w:t>
            </w:r>
            <w:proofErr w:type="spellEnd"/>
            <w:r w:rsidRPr="00C969C1">
              <w:rPr>
                <w:i/>
                <w:iCs/>
              </w:rPr>
              <w:t xml:space="preserve"> </w:t>
            </w:r>
            <w:proofErr w:type="spellStart"/>
            <w:r w:rsidRPr="00C969C1">
              <w:rPr>
                <w:i/>
                <w:iCs/>
              </w:rPr>
              <w:t>Associés</w:t>
            </w:r>
            <w:proofErr w:type="spellEnd"/>
            <w:r w:rsidRPr="00C969C1">
              <w:rPr>
                <w:i/>
                <w:iCs/>
              </w:rPr>
              <w:t xml:space="preserve">, sopra citata, § 151). Tenuto conto del ruolo fondamentale svolto dagli autori di segnalazioni di illeciti o irregolarità, ogni indebita restrizione della libertà di espressione comporta effettivamente il rischio di ostacolare o paralizzare la rivelazione futura da parte degli stessi di informazioni che è nel pubblico interesse divulgare, dissuadendoli dal segnalare condotte illecite o discutibili (ibid., e, </w:t>
            </w:r>
            <w:proofErr w:type="spellStart"/>
            <w:r w:rsidRPr="00C969C1">
              <w:rPr>
                <w:i/>
                <w:iCs/>
              </w:rPr>
              <w:t>mutatis</w:t>
            </w:r>
            <w:proofErr w:type="spellEnd"/>
            <w:r w:rsidRPr="00C969C1">
              <w:rPr>
                <w:i/>
                <w:iCs/>
              </w:rPr>
              <w:t xml:space="preserve"> </w:t>
            </w:r>
            <w:proofErr w:type="spellStart"/>
            <w:r w:rsidRPr="00C969C1">
              <w:rPr>
                <w:i/>
                <w:iCs/>
              </w:rPr>
              <w:t>mutandis</w:t>
            </w:r>
            <w:proofErr w:type="spellEnd"/>
            <w:r w:rsidRPr="00C969C1">
              <w:rPr>
                <w:i/>
                <w:iCs/>
              </w:rPr>
              <w:t xml:space="preserve">, </w:t>
            </w:r>
            <w:proofErr w:type="spellStart"/>
            <w:r w:rsidRPr="00C969C1">
              <w:rPr>
                <w:i/>
                <w:iCs/>
              </w:rPr>
              <w:t>Görmüş</w:t>
            </w:r>
            <w:proofErr w:type="spellEnd"/>
            <w:r w:rsidRPr="00C969C1">
              <w:rPr>
                <w:i/>
                <w:iCs/>
              </w:rPr>
              <w:t>, sopra citata, § 74). Può allora essere messo a repentaglio il diritto del pubblico di ricevere informazioni di pubblico interesse, garantito dall’articolo 10 della Convenzione.</w:t>
            </w:r>
            <w:r w:rsidRPr="00C969C1">
              <w:rPr>
                <w:i/>
                <w:iCs/>
              </w:rPr>
              <w:br/>
              <w:t>205. Nel caso di specie, il ricorrente, dopo essere stato licenziato dal suo datore di lavoro, sia pure con preavviso, è stato perseguito e condannato al termine di un procedimento penale che aveva suscitato una notevole attenzione mediatica al pagamento di una multa di EUR 1.000. Tenuto conto della natura delle sanzioni inflitte e della gravità degli effetti derivanti dal loro cumulo, in particolare dell’effetto dissuasivo sulla libertà di espressione del ricorrente o di qualunque altro autore di segnalazioni, un aspetto che non sembra che la Corte di appello abbia in alcun modo considerato, e soprattutto tenendo presente la conclusione cui quest’ultima è pervenuta dopo aver ponderato gli interessi in gioco, la Corte ritiene che la condanna penale del ricorrente non possa essere considerata proporzionata alla luce del legittimo fine perseguito.</w:t>
            </w:r>
            <w:r w:rsidRPr="00C969C1">
              <w:rPr>
                <w:i/>
                <w:iCs/>
              </w:rPr>
              <w:br/>
              <w:t>(c)Conclusione</w:t>
            </w:r>
            <w:r w:rsidRPr="00C969C1">
              <w:rPr>
                <w:i/>
                <w:iCs/>
              </w:rPr>
              <w:br/>
              <w:t>206. La Corte, dopo aver ponderato tutti gli interessi in questione e aver tenuto conto della natura, della severità e dell’effetto dissuasivo della condanna penale del ricorrente, conclude che l’ingerenza nel suo diritto alla libertà di espressione, in particolare nella sua libertà di comunicare informazioni, non era “necessaria in una società democratica”.</w:t>
            </w:r>
            <w:r w:rsidRPr="00C969C1">
              <w:rPr>
                <w:i/>
                <w:iCs/>
              </w:rPr>
              <w:br/>
              <w:t>207. Vi è stata pertanto violazione dell’articolo 10 della Convenzione.</w:t>
            </w:r>
            <w:r w:rsidRPr="00C969C1">
              <w:rPr>
                <w:i/>
                <w:iCs/>
              </w:rPr>
              <w:br/>
              <w:t>II.SULL’APPLICAZIONE DELL’ARTICOLO 41 DELLA CONVENZIONE</w:t>
            </w:r>
            <w:r w:rsidRPr="00C969C1">
              <w:rPr>
                <w:i/>
                <w:iCs/>
              </w:rPr>
              <w:br/>
              <w:t>208. L’articolo 41 della Convenzione recita,</w:t>
            </w:r>
            <w:r w:rsidRPr="00C969C1">
              <w:rPr>
                <w:i/>
                <w:iCs/>
              </w:rPr>
              <w:br/>
              <w:t>“Se la Corte dichiara che vi è stata violazione della Convenzione o dei suoi Protocolli e se il diritto interno dell’Alta Parte contraente non permette se non in modo imperfetto di rimuovere le conseguenze di tale violazione, la Corte accorda, se del caso, un’equa soddisfazione alla parte lesa.”</w:t>
            </w:r>
            <w:r w:rsidRPr="00C969C1">
              <w:rPr>
                <w:i/>
                <w:iCs/>
              </w:rPr>
              <w:br/>
            </w:r>
            <w:proofErr w:type="spellStart"/>
            <w:proofErr w:type="gramStart"/>
            <w:r w:rsidRPr="00C969C1">
              <w:rPr>
                <w:i/>
                <w:iCs/>
              </w:rPr>
              <w:t>A.Danno</w:t>
            </w:r>
            <w:proofErr w:type="spellEnd"/>
            <w:proofErr w:type="gramEnd"/>
            <w:r w:rsidRPr="00C969C1">
              <w:rPr>
                <w:i/>
                <w:iCs/>
              </w:rPr>
              <w:br/>
              <w:t>209. Il ricorrente ha chiesto 15.000 euro (EUR) per il danno non patrimoniale.</w:t>
            </w:r>
            <w:r w:rsidRPr="00C969C1">
              <w:rPr>
                <w:i/>
                <w:iCs/>
              </w:rPr>
              <w:br/>
              <w:t>210. Il Governo non ha commentato tale richiesta dinanzi alla Grande Camera.</w:t>
            </w:r>
            <w:r w:rsidRPr="00C969C1">
              <w:rPr>
                <w:i/>
                <w:iCs/>
              </w:rPr>
              <w:br/>
              <w:t>211. Deliberando in via equitativa, la Corte ritiene appropriato accordare al ricorrente l’intera somma richiesta, ovvero EUR 15.000.</w:t>
            </w:r>
            <w:r w:rsidRPr="00C969C1">
              <w:rPr>
                <w:i/>
                <w:iCs/>
              </w:rPr>
              <w:br/>
            </w:r>
            <w:proofErr w:type="spellStart"/>
            <w:proofErr w:type="gramStart"/>
            <w:r w:rsidRPr="00C969C1">
              <w:rPr>
                <w:i/>
                <w:iCs/>
              </w:rPr>
              <w:t>B.Spese</w:t>
            </w:r>
            <w:proofErr w:type="spellEnd"/>
            <w:proofErr w:type="gramEnd"/>
            <w:r w:rsidRPr="00C969C1">
              <w:rPr>
                <w:i/>
                <w:iCs/>
              </w:rPr>
              <w:br/>
              <w:t>212. Il ricorrente ha chiesto inoltre EUR 51.159 per le spese sostenute dinanzi ai tribunali interni e ha presentato le relative fatture. Ha chiesto altresì EUR 26.150 per le spese sostenute dinanzi alla Corte, così suddivise: EUR 3.500 per il procedimento dinanzi alla Camera e EUR 22.650 per il procedimento dinanzi alla Grande Camera. Ha presentato un accordo sull’onorario e fatture riguardanti il procedimento dinanzi alla Corte.</w:t>
            </w:r>
            <w:r w:rsidRPr="00C969C1">
              <w:rPr>
                <w:i/>
                <w:iCs/>
              </w:rPr>
              <w:br/>
              <w:t>213. Il Governo non ha commentato tali richieste dinanzi alla Grande Camera.</w:t>
            </w:r>
            <w:r w:rsidRPr="00C969C1">
              <w:rPr>
                <w:i/>
                <w:iCs/>
              </w:rPr>
              <w:br/>
              <w:t xml:space="preserve">214. Secondo la giurisprudenza della Corte, un ricorrente ha diritto al rimborso delle spese </w:t>
            </w:r>
            <w:r w:rsidRPr="00C969C1">
              <w:rPr>
                <w:i/>
                <w:iCs/>
              </w:rPr>
              <w:lastRenderedPageBreak/>
              <w:t>sostenute solo nella misura in cui ne siano accertate la realtà e la necessità, e il loro importo sia ragionevole. Nel caso di specie, la Corte, tenuto conto della documentazione in suo possesso e dei suddetti criteri, ritiene ragionevole accordare la somma di EUR 40.000, che copre tutte le voci di spesa.</w:t>
            </w:r>
          </w:p>
          <w:p w14:paraId="02D31082" w14:textId="77777777" w:rsidR="00C969C1" w:rsidRDefault="00C969C1" w:rsidP="00C969C1">
            <w:pPr>
              <w:rPr>
                <w:i/>
                <w:iCs/>
              </w:rPr>
            </w:pPr>
            <w:r w:rsidRPr="00C969C1">
              <w:rPr>
                <w:i/>
                <w:iCs/>
              </w:rPr>
              <w:t>PER QUESTI MOTIVI LA CORTE,</w:t>
            </w:r>
            <w:r w:rsidRPr="00C969C1">
              <w:rPr>
                <w:i/>
                <w:iCs/>
              </w:rPr>
              <w:br/>
              <w:t>1.Ritiene, con dodici voti contro cinque, che vi sia stata violazione dell’articolo 10 della Convenzione;</w:t>
            </w:r>
            <w:r w:rsidRPr="00C969C1">
              <w:rPr>
                <w:i/>
                <w:iCs/>
              </w:rPr>
              <w:br/>
              <w:t>2.Ritiene, con dodici voti contro cinque,</w:t>
            </w:r>
            <w:r w:rsidRPr="00C969C1">
              <w:rPr>
                <w:i/>
                <w:iCs/>
              </w:rPr>
              <w:br/>
              <w:t>(a)che lo Stato convenuto debba versare al ricorrente, entro tre mesi:</w:t>
            </w:r>
            <w:r w:rsidRPr="00C969C1">
              <w:rPr>
                <w:i/>
                <w:iCs/>
              </w:rPr>
              <w:br/>
              <w:t>(i) EUR 15.000 (quindicimila euro), oltre l’importo eventualmente da lui dovuto a titolo di imposta, per il danno non patrimoniale;</w:t>
            </w:r>
            <w:r w:rsidRPr="00C969C1">
              <w:rPr>
                <w:i/>
                <w:iCs/>
              </w:rPr>
              <w:br/>
              <w:t>(ii) EUR 40.000 (quarantamila euro), oltre l’importo eventualmente da lui dovuto a titolo di imposta, per le spese;</w:t>
            </w:r>
            <w:r w:rsidRPr="00C969C1">
              <w:rPr>
                <w:i/>
                <w:iCs/>
              </w:rPr>
              <w:br/>
              <w:t>(b)che a decorrere da detto termine e fino al versamento tali importi dovranno essere maggiorati di un interesse semplice equivalente a quello delle operazioni di rifinanziamento marginale della Banca centrale europea applicabile durante tale periodo, maggiorato di tre punti percentuali;</w:t>
            </w:r>
            <w:r w:rsidRPr="00C969C1">
              <w:rPr>
                <w:i/>
                <w:iCs/>
              </w:rPr>
              <w:br/>
              <w:t>3.Rigetta, all’unanimità, la domanda di equa soddisfazione per il resto.</w:t>
            </w:r>
            <w:r w:rsidRPr="00C969C1">
              <w:rPr>
                <w:i/>
                <w:iCs/>
              </w:rPr>
              <w:br/>
              <w:t>Fatta in francese e in inglese e pronunciata in pubblica udienza nel Palazzo dei diritti dell’uomo, a Strasburgo, il 14 febbraio 2023, ai sensi dell’articolo 77 §§ 2 e 3 del Regolamento della Corte.</w:t>
            </w:r>
            <w:r w:rsidRPr="00C969C1">
              <w:rPr>
                <w:i/>
                <w:iCs/>
              </w:rPr>
              <w:br/>
              <w:t>{signature_p_2}</w:t>
            </w:r>
            <w:r w:rsidRPr="00C969C1">
              <w:rPr>
                <w:i/>
                <w:iCs/>
              </w:rPr>
              <w:br/>
              <w:t>Robert Spano</w:t>
            </w:r>
            <w:r>
              <w:rPr>
                <w:i/>
                <w:iCs/>
              </w:rPr>
              <w:t xml:space="preserve"> Presidente</w:t>
            </w:r>
          </w:p>
          <w:p w14:paraId="1A17C57F" w14:textId="1D0056E1" w:rsidR="00C969C1" w:rsidRDefault="00C969C1" w:rsidP="00C969C1">
            <w:pPr>
              <w:rPr>
                <w:i/>
                <w:iCs/>
              </w:rPr>
            </w:pPr>
            <w:r w:rsidRPr="00C969C1">
              <w:rPr>
                <w:i/>
                <w:iCs/>
              </w:rPr>
              <w:t>Abel Campo</w:t>
            </w:r>
            <w:r>
              <w:rPr>
                <w:i/>
                <w:iCs/>
              </w:rPr>
              <w:t xml:space="preserve"> </w:t>
            </w:r>
            <w:proofErr w:type="spellStart"/>
            <w:r w:rsidRPr="00C969C1">
              <w:rPr>
                <w:i/>
                <w:iCs/>
              </w:rPr>
              <w:t>sCancelliere</w:t>
            </w:r>
            <w:proofErr w:type="spellEnd"/>
            <w:r w:rsidRPr="00C969C1">
              <w:rPr>
                <w:i/>
                <w:iCs/>
              </w:rPr>
              <w:t xml:space="preserve"> aggiunto</w:t>
            </w:r>
          </w:p>
          <w:p w14:paraId="447D9824" w14:textId="0FF73779" w:rsidR="00C969C1" w:rsidRPr="00C969C1" w:rsidRDefault="00C969C1" w:rsidP="00C969C1">
            <w:pPr>
              <w:rPr>
                <w:i/>
                <w:iCs/>
              </w:rPr>
            </w:pPr>
            <w:r w:rsidRPr="00C969C1">
              <w:rPr>
                <w:i/>
                <w:iCs/>
              </w:rPr>
              <w:t>Alla presente sentenza sono allegate, conformemente agli articoli 45 § 2 della Convenzione e 74 § 2 del Regolamento della Corte, le seguenti opinioni separate:</w:t>
            </w:r>
            <w:r w:rsidRPr="00C969C1">
              <w:rPr>
                <w:i/>
                <w:iCs/>
              </w:rPr>
              <w:br/>
              <w:t xml:space="preserve">(a) l’opinione dissenziente comune ai giudici </w:t>
            </w:r>
            <w:proofErr w:type="spellStart"/>
            <w:r w:rsidRPr="00C969C1">
              <w:rPr>
                <w:i/>
                <w:iCs/>
              </w:rPr>
              <w:t>Ravarani</w:t>
            </w:r>
            <w:proofErr w:type="spellEnd"/>
            <w:r w:rsidRPr="00C969C1">
              <w:rPr>
                <w:i/>
                <w:iCs/>
              </w:rPr>
              <w:t xml:space="preserve">, </w:t>
            </w:r>
            <w:proofErr w:type="spellStart"/>
            <w:r w:rsidRPr="00C969C1">
              <w:rPr>
                <w:i/>
                <w:iCs/>
              </w:rPr>
              <w:t>Mourou-Vikström</w:t>
            </w:r>
            <w:proofErr w:type="spellEnd"/>
            <w:r w:rsidRPr="00C969C1">
              <w:rPr>
                <w:i/>
                <w:iCs/>
              </w:rPr>
              <w:t xml:space="preserve">, </w:t>
            </w:r>
            <w:proofErr w:type="spellStart"/>
            <w:r w:rsidRPr="00C969C1">
              <w:rPr>
                <w:i/>
                <w:iCs/>
              </w:rPr>
              <w:t>Chanturia</w:t>
            </w:r>
            <w:proofErr w:type="spellEnd"/>
            <w:r w:rsidRPr="00C969C1">
              <w:rPr>
                <w:i/>
                <w:iCs/>
              </w:rPr>
              <w:t xml:space="preserve"> e Sabato;</w:t>
            </w:r>
            <w:r w:rsidRPr="00C969C1">
              <w:rPr>
                <w:i/>
                <w:iCs/>
              </w:rPr>
              <w:br/>
              <w:t xml:space="preserve">(b) la dichiarazione di dissenso del giudice </w:t>
            </w:r>
            <w:proofErr w:type="spellStart"/>
            <w:r w:rsidRPr="00C969C1">
              <w:rPr>
                <w:i/>
                <w:iCs/>
              </w:rPr>
              <w:t>Kjølbro</w:t>
            </w:r>
            <w:proofErr w:type="spellEnd"/>
            <w:r w:rsidRPr="00C969C1">
              <w:rPr>
                <w:i/>
                <w:iCs/>
              </w:rPr>
              <w:t>.</w:t>
            </w:r>
            <w:r w:rsidRPr="00C969C1">
              <w:rPr>
                <w:i/>
                <w:iCs/>
              </w:rPr>
              <w:br/>
              <w:t>R.S.</w:t>
            </w:r>
            <w:r w:rsidRPr="00C969C1">
              <w:rPr>
                <w:i/>
                <w:iCs/>
              </w:rPr>
              <w:br/>
              <w:t>A.C.</w:t>
            </w:r>
            <w:r w:rsidRPr="00C969C1">
              <w:rPr>
                <w:i/>
                <w:iCs/>
              </w:rPr>
              <w:br/>
            </w:r>
            <w:r w:rsidRPr="00C969C1">
              <w:rPr>
                <w:i/>
                <w:iCs/>
              </w:rPr>
              <w:br/>
              <w:t>OPINIONE DISSENZIENTE COMUNE AI GIUDICI RAVARANI, MOUROU-VIKSTRÖM, CHANTURIA E SABATO</w:t>
            </w:r>
            <w:r w:rsidRPr="00C969C1">
              <w:rPr>
                <w:i/>
                <w:iCs/>
              </w:rPr>
              <w:br/>
              <w:t>(Traduzione)</w:t>
            </w:r>
            <w:r w:rsidRPr="00C969C1">
              <w:rPr>
                <w:i/>
                <w:iCs/>
              </w:rPr>
              <w:br/>
              <w:t>Con rammarico abbiamo deciso di non unirci alla maggioranza che ha concluso che vi è stata violazione dell’articolo 10 della Convenzione perché i tribunali interni avevano negato al ricorrente lo status di autore di segnalazioni di illeciti o irregolarità, che gli avrebbe consentito di evitare le sanzioni previste dal diritto penale, in particolare in materia di furto e di segreto professionale.</w:t>
            </w:r>
            <w:r w:rsidRPr="00C969C1">
              <w:rPr>
                <w:i/>
                <w:iCs/>
              </w:rPr>
              <w:br/>
              <w:t xml:space="preserve">Ciò premesso, noi siamo ben lungi dal dissentire da tutto ciò che è stato stabilito dalla sentenza. Condividiamo l’esigenza di “rivisitare” i criteri </w:t>
            </w:r>
            <w:proofErr w:type="spellStart"/>
            <w:r w:rsidRPr="00C969C1">
              <w:rPr>
                <w:i/>
                <w:iCs/>
              </w:rPr>
              <w:t>Guja</w:t>
            </w:r>
            <w:proofErr w:type="spellEnd"/>
            <w:r w:rsidRPr="00C969C1">
              <w:rPr>
                <w:i/>
                <w:iCs/>
              </w:rPr>
              <w:t xml:space="preserve"> e, in larghissima misura, il modo in cui tali criteri sono stati sviluppati.</w:t>
            </w:r>
            <w:r w:rsidRPr="00C969C1">
              <w:rPr>
                <w:i/>
                <w:iCs/>
              </w:rPr>
              <w:br/>
              <w:t xml:space="preserve">Le nostre riserve riguardano soltanto un punto specifico che tocca i principi stabiliti e la loro </w:t>
            </w:r>
            <w:r w:rsidRPr="00C969C1">
              <w:rPr>
                <w:i/>
                <w:iCs/>
              </w:rPr>
              <w:lastRenderedPageBreak/>
              <w:t>applicazione al caso di specie.</w:t>
            </w:r>
            <w:r w:rsidRPr="00C969C1">
              <w:rPr>
                <w:i/>
                <w:iCs/>
              </w:rPr>
              <w:br/>
              <w:t>I. I principi</w:t>
            </w:r>
            <w:r w:rsidRPr="00C969C1">
              <w:rPr>
                <w:i/>
                <w:iCs/>
              </w:rPr>
              <w:br/>
              <w:t xml:space="preserve">I principi individuati dalla giurisprudenza </w:t>
            </w:r>
            <w:proofErr w:type="spellStart"/>
            <w:r w:rsidRPr="00C969C1">
              <w:rPr>
                <w:i/>
                <w:iCs/>
              </w:rPr>
              <w:t>Guja</w:t>
            </w:r>
            <w:proofErr w:type="spellEnd"/>
            <w:r w:rsidRPr="00C969C1">
              <w:rPr>
                <w:i/>
                <w:iCs/>
              </w:rPr>
              <w:t xml:space="preserve">. La sentenza, ai paragrafi 110-154, ripercorre la giurisprudenza in materia di autori di segnalazioni di illeciti o irregolarità (pur rifiutando espressamente di definire tale concetto; si veda il paragrafo 156 della presente sentenza) e, in particolare, ribadisce i criteri individuati nella sentenza della Grande Camera relativa alla causa </w:t>
            </w:r>
            <w:proofErr w:type="spellStart"/>
            <w:r w:rsidRPr="00C969C1">
              <w:rPr>
                <w:i/>
                <w:iCs/>
              </w:rPr>
              <w:t>Guja</w:t>
            </w:r>
            <w:proofErr w:type="spellEnd"/>
            <w:r w:rsidRPr="00C969C1">
              <w:rPr>
                <w:i/>
                <w:iCs/>
              </w:rPr>
              <w:t xml:space="preserve"> c. Moldova ([GC], n. 14277/04, CEDU 2008), ovvero l’eventuale disponibilità di altri canali di segnalazione; il pubblico interesse presentato dalle informazioni rivelate; la loro autenticità; il danno provocato al datore di lavoro; la buona fede dell’autore della segnalazione; e la severità della sanzione (si veda il paragrafo 114 della presente sentenza).</w:t>
            </w:r>
            <w:r w:rsidRPr="00C969C1">
              <w:rPr>
                <w:i/>
                <w:iCs/>
              </w:rPr>
              <w:br/>
              <w:t xml:space="preserve">Lo status di autore di segnalazioni di illeciti o irregolarità accorda a colui che ne gode una formidabile protezione, poiché lo ripara dall’applicazione del diritto penale. È pertanto essenziale che il riconoscimento di tale status sia accordato con la massima cautela, subordinandolo al rispetto di criteri rigorosamente definiti. Inoltre, la valutazione della “causa” superiore che motiva l’autore della segnalazione deve essere scevra da considerazioni politiche o ideologiche, pena il rischio di indebolire lo status stesso di autore di segnalazioni di illeciti o irregolarità. Al riguardo è importante osservare che la Grande Camera, nella causa </w:t>
            </w:r>
            <w:proofErr w:type="spellStart"/>
            <w:r w:rsidRPr="00C969C1">
              <w:rPr>
                <w:i/>
                <w:iCs/>
              </w:rPr>
              <w:t>Medžlis</w:t>
            </w:r>
            <w:proofErr w:type="spellEnd"/>
            <w:r w:rsidRPr="00C969C1">
              <w:rPr>
                <w:i/>
                <w:iCs/>
              </w:rPr>
              <w:t xml:space="preserve"> </w:t>
            </w:r>
            <w:proofErr w:type="spellStart"/>
            <w:r w:rsidRPr="00C969C1">
              <w:rPr>
                <w:i/>
                <w:iCs/>
              </w:rPr>
              <w:t>Islamske</w:t>
            </w:r>
            <w:proofErr w:type="spellEnd"/>
            <w:r w:rsidRPr="00C969C1">
              <w:rPr>
                <w:i/>
                <w:iCs/>
              </w:rPr>
              <w:t xml:space="preserve"> </w:t>
            </w:r>
            <w:proofErr w:type="spellStart"/>
            <w:r w:rsidRPr="00C969C1">
              <w:rPr>
                <w:i/>
                <w:iCs/>
              </w:rPr>
              <w:t>Zajednice</w:t>
            </w:r>
            <w:proofErr w:type="spellEnd"/>
            <w:r w:rsidRPr="00C969C1">
              <w:rPr>
                <w:i/>
                <w:iCs/>
              </w:rPr>
              <w:t xml:space="preserve"> </w:t>
            </w:r>
            <w:proofErr w:type="spellStart"/>
            <w:r w:rsidRPr="00C969C1">
              <w:rPr>
                <w:i/>
                <w:iCs/>
              </w:rPr>
              <w:t>Brčko</w:t>
            </w:r>
            <w:proofErr w:type="spellEnd"/>
            <w:r w:rsidRPr="00C969C1">
              <w:rPr>
                <w:i/>
                <w:iCs/>
              </w:rPr>
              <w:t xml:space="preserve"> e altri c. Bosnia-Erzegovina ([GC], n. 17224/11, 27 giugno 2017), ha avuto cura di escludere dal regime di tutela degli autori di segnalazioni, delle persone che avevano pronunciato dichiarazioni diffamatorie che denunciavano presunte condotte razziste sul luogo di lavoro.</w:t>
            </w:r>
            <w:r w:rsidRPr="00C969C1">
              <w:rPr>
                <w:i/>
                <w:iCs/>
              </w:rPr>
              <w:br/>
              <w:t>L’ampliamento del concetto di “interesse pubblico”. La sentenza dichiara che la Corte attribuisce importanza alla stabilità e alla prevedibilità della sua giurisprudenza in termini di certezza giuridica. Pur affermando di voler “confermare e consolidare i principi stabiliti dalla sua giurisprudenza in materia di protezione degli autori di segnalazioni di illeciti o irregolarità”, la maggioranza ritiene tuttavia opportuno “perfezionarli” (si vedano i paragrafi 148 e 158 della sentenza). In tal modo essa, inter alia, estende considerevolmente il concetto di interesse pubblico che le informazioni rivelate devono presentare affinché l’autore della segnalazione goda della protezione. Dopo aver individuato nella giurisprudenza della Corte i due tipi di condotta del datore di lavoro che presentano l’interesse pubblico necessario a giustificare la concessione dell’immunità all’autore della segnalazione, ovvero, da un lato, “atti, prassi o condotte illecite nel luogo di lavoro” e, dall’altro “atti, prassi o condotte che benché lecite sono reprensibili” (si veda il paragrafo 137 della sentenza), la sentenza aggiunge una terza categoria, interamente nuova in materia di segnalazione di illeciti o irregolarità, che comprende “certe informazioni sul funzionamento delle autorità pubbliche in una società democratica che suscitano un dibattito pubblico da cui deriva una controversia che può far nascere nel pubblico un legittimo interesse a conoscerle per formarsi un’opinione informata sulla loro idoneità o meno a rivelare un danno all’interesse pubblico (si veda il paragrafo 138 della sentenza), pur precisando che le informazioni possono concernere anche la condotta di privati (si veda il paragrafo 142 della sentenza).</w:t>
            </w:r>
            <w:r w:rsidRPr="00C969C1">
              <w:rPr>
                <w:i/>
                <w:iCs/>
              </w:rPr>
              <w:br/>
              <w:t xml:space="preserve">Un criterio eccessivamente vago. In relazione alle tre categorie di informazioni che secondo la sentenza possono legittimamente essere rivelate dall’autore di una segnalazione – condotta illecita, atti </w:t>
            </w:r>
            <w:proofErr w:type="gramStart"/>
            <w:r w:rsidRPr="00C969C1">
              <w:rPr>
                <w:i/>
                <w:iCs/>
              </w:rPr>
              <w:t>che</w:t>
            </w:r>
            <w:proofErr w:type="gramEnd"/>
            <w:r w:rsidRPr="00C969C1">
              <w:rPr>
                <w:i/>
                <w:iCs/>
              </w:rPr>
              <w:t xml:space="preserve"> pur non essendo illeciti sono reprensibili, o informazioni che suscitano un dibattito – la </w:t>
            </w:r>
            <w:r w:rsidRPr="00C969C1">
              <w:rPr>
                <w:i/>
                <w:iCs/>
              </w:rPr>
              <w:lastRenderedPageBreak/>
              <w:t xml:space="preserve">Grande Camera sottolinea che il pubblico interesse alla rivelazione decresce a seconda che si tratti di informazioni che rientrano nella prima, nella seconda o nella terza categoria (si veda il paragrafo 140 della sentenza). </w:t>
            </w:r>
            <w:proofErr w:type="gramStart"/>
            <w:r w:rsidRPr="00C969C1">
              <w:rPr>
                <w:i/>
                <w:iCs/>
              </w:rPr>
              <w:t>Tuttavia</w:t>
            </w:r>
            <w:proofErr w:type="gramEnd"/>
            <w:r w:rsidRPr="00C969C1">
              <w:rPr>
                <w:i/>
                <w:iCs/>
              </w:rPr>
              <w:t xml:space="preserve"> è difficile contestare che la vaghezza che contraddistingue tali tre categorie cresca di pari passo. Se è indubbiamente semplice individuare l’illiceità di una particolare forma di condotta, è già molto più difficile determinare ciò che, pur restando lecito, è reprensibile. L’apice della vaghezza si raggiunge quando si cerca di definire quali sono le informazioni che suscitano un dibattito pubblico. Infatti, qualsiasi cosa può rientrare in tale categoria, anche la salute di una persona che occupa un posto di comando o il patrimonio bancario di un esponente politico, informazioni tutelate, a ragion veduta, dal segreto professionale o da altre forme di riservatezza. L’introduzione di questo nuovo criterio svuota di sostanza tale tutela, e, al contempo, fa venir meno la certezza del diritto.</w:t>
            </w:r>
            <w:r w:rsidRPr="00C969C1">
              <w:rPr>
                <w:i/>
                <w:iCs/>
              </w:rPr>
              <w:br/>
              <w:t xml:space="preserve">Un precedente giurisprudenziale dubbio ... A sostegno dell’introduzione di suddetta terza categoria la sentenza fa riferimento alla giurisprudenza della Corte sulla libertà di espressione; citando, più in particolare, la causa </w:t>
            </w:r>
            <w:proofErr w:type="spellStart"/>
            <w:r w:rsidRPr="00C969C1">
              <w:rPr>
                <w:i/>
                <w:iCs/>
              </w:rPr>
              <w:t>Fressoz</w:t>
            </w:r>
            <w:proofErr w:type="spellEnd"/>
            <w:r w:rsidRPr="00C969C1">
              <w:rPr>
                <w:i/>
                <w:iCs/>
              </w:rPr>
              <w:t xml:space="preserve"> e </w:t>
            </w:r>
            <w:proofErr w:type="spellStart"/>
            <w:r w:rsidRPr="00C969C1">
              <w:rPr>
                <w:i/>
                <w:iCs/>
              </w:rPr>
              <w:t>Roire</w:t>
            </w:r>
            <w:proofErr w:type="spellEnd"/>
            <w:r w:rsidRPr="00C969C1">
              <w:rPr>
                <w:i/>
                <w:iCs/>
              </w:rPr>
              <w:t xml:space="preserve"> c. Francia ([GC], n. 29183/95, CEDU 1999 I), essa sottolinea che “in certi casi, l’interesse che il pubblico può nutrire per particolari informazioni può essere talmente forte da prevalere persino su un dovere di riservatezza imposto dalla legge” (si veda il paragrafo 132 della presente sentenza). La sentenza in questione, però, è stata pronunciata in relazione a dei giornalisti che avevano pubblicato gli accertamenti tributari subiti dall’amministratore delegato di una grande società, rivelando così la sua retribuzione, giudicata esorbitante. La questione di cui era investita la Corte in quel caso non riguardava l’utilizzo dei documenti ottenuti illegalmente, né la violazione del segreto professionale (indubbiamente commessa da altri) – infatti il pubblico ministero aveva deciso di non procedere al riguardo– ma piuttosto il fatto che i giornalisti </w:t>
            </w:r>
            <w:proofErr w:type="gramStart"/>
            <w:r w:rsidRPr="00C969C1">
              <w:rPr>
                <w:i/>
                <w:iCs/>
              </w:rPr>
              <w:t>avessero</w:t>
            </w:r>
            <w:proofErr w:type="gramEnd"/>
            <w:r w:rsidRPr="00C969C1">
              <w:rPr>
                <w:i/>
                <w:iCs/>
              </w:rPr>
              <w:t xml:space="preserve"> ricavato un vantaggio dal furto di tali documenti. Era stata perciò sollevata la questione della protezione delle fonti giornalistiche. La Corte, a certe condizioni, in particolare qualora sussista un interesse pubblico, riconosce tale protezione. </w:t>
            </w:r>
            <w:proofErr w:type="gramStart"/>
            <w:r w:rsidRPr="00C969C1">
              <w:rPr>
                <w:i/>
                <w:iCs/>
              </w:rPr>
              <w:t>Tuttavia</w:t>
            </w:r>
            <w:proofErr w:type="gramEnd"/>
            <w:r w:rsidRPr="00C969C1">
              <w:rPr>
                <w:i/>
                <w:iCs/>
              </w:rPr>
              <w:t xml:space="preserve"> la </w:t>
            </w:r>
            <w:proofErr w:type="gramStart"/>
            <w:r w:rsidRPr="00C969C1">
              <w:rPr>
                <w:i/>
                <w:iCs/>
              </w:rPr>
              <w:t>summenzionata</w:t>
            </w:r>
            <w:proofErr w:type="gramEnd"/>
            <w:r w:rsidRPr="00C969C1">
              <w:rPr>
                <w:i/>
                <w:iCs/>
              </w:rPr>
              <w:t xml:space="preserve"> sentenza si guarda bene dal sollevare le persone soggette al segreto professionale dall’obbligo di rispettarlo perché le informazioni che esse intendono offrire al pubblico sono di interesse generale. Tornando agli esempi summenzionati, un giornalista può rivelare lo stato di salute di una persona o l’ammontare del suo saldo bancario, ma il medico o il dipendente bancario all’origine della fuga di notizia, qualora venga individuato, incorre in una sanzione penale.</w:t>
            </w:r>
            <w:r w:rsidRPr="00C969C1">
              <w:rPr>
                <w:i/>
                <w:iCs/>
              </w:rPr>
              <w:br/>
              <w:t>...che svaluta il segreto professionale... l’attuale sentenza </w:t>
            </w:r>
            <w:bookmarkStart w:id="57" w:name="hitd0p260"/>
            <w:proofErr w:type="spellStart"/>
            <w:r w:rsidRPr="00C969C1">
              <w:rPr>
                <w:i/>
                <w:iCs/>
              </w:rPr>
              <w:t>Halet</w:t>
            </w:r>
            <w:bookmarkEnd w:id="57"/>
            <w:proofErr w:type="spellEnd"/>
            <w:r w:rsidRPr="00C969C1">
              <w:rPr>
                <w:i/>
                <w:iCs/>
              </w:rPr>
              <w:t xml:space="preserve"> si avventura così in un territorio ignoto, correndo volutamente il rischio di compromettere il segreto professionale, che deve ora cedere il passo dinanzi a informazioni che sono “semplicemente” interessanti, ma non scoperchiano condotte illecite o perlomeno reprensibili. È vero che la sentenza riconosce che l’interesse pubblico in grado di giustificare la rivelazione “non può essere esaminato indipendentemente dal dovere di riservatezza o di segretezza violato” (si veda il paragrafo 136 della sentenza). </w:t>
            </w:r>
            <w:proofErr w:type="gramStart"/>
            <w:r w:rsidRPr="00C969C1">
              <w:rPr>
                <w:i/>
                <w:iCs/>
              </w:rPr>
              <w:t>Tuttavia</w:t>
            </w:r>
            <w:proofErr w:type="gramEnd"/>
            <w:r w:rsidRPr="00C969C1">
              <w:rPr>
                <w:i/>
                <w:iCs/>
              </w:rPr>
              <w:t xml:space="preserve"> tale apparente tributo all’importanza del segreto professionale o di altre forme di riservatezza rimane sospeso nel vuoto e il conflitto tra la segnalazione e il dovere di segretezza resta irrisolto. Tale contraddizione è particolarmente palese nel paragrafo 152 della sentenza che, da un lato, ribadisce che nel particolare contesto della segnalazione di illeciti o irregolarità “l’utilizzo della via penale per punire la divulgazione di informazioni riservate (…) [è] incompatibile con l’esercizio della libertà di </w:t>
            </w:r>
            <w:r w:rsidRPr="00C969C1">
              <w:rPr>
                <w:i/>
                <w:iCs/>
              </w:rPr>
              <w:lastRenderedPageBreak/>
              <w:t>espressione”, ma, dall’altro, riconosce che in molti casi la condotta della persona che chiede la protezione che può essere accordata agli autori di segnalazioni può “legittimamente” costituire reato.</w:t>
            </w:r>
            <w:r w:rsidRPr="00C969C1">
              <w:rPr>
                <w:i/>
                <w:iCs/>
              </w:rPr>
              <w:br/>
              <w:t xml:space="preserve">In ogni caso, invece di fissare criteri che forniscano un minimo di chiarezza e possano servire da linee-guida per i potenziali autori di segnalazioni e per le autorità penali chiamate a decidere se procedere o formulare accuse, la sentenza crea confusione e lascia gli uni e gli altri ad affrontare scelte difficili dagli esiti incerti. </w:t>
            </w:r>
            <w:proofErr w:type="gramStart"/>
            <w:r w:rsidRPr="00C969C1">
              <w:rPr>
                <w:i/>
                <w:iCs/>
              </w:rPr>
              <w:t>Inoltre</w:t>
            </w:r>
            <w:proofErr w:type="gramEnd"/>
            <w:r w:rsidRPr="00C969C1">
              <w:rPr>
                <w:i/>
                <w:iCs/>
              </w:rPr>
              <w:t xml:space="preserve"> tale incertezza non colpisce soltanto le autorità penali, ma rischia anche di compromettere seriamente il rapporto di fiducia che è alla base di ogni rapporto di diritto privato e in particolare dei contratti di lavoro.</w:t>
            </w:r>
            <w:r w:rsidRPr="00C969C1">
              <w:rPr>
                <w:i/>
                <w:iCs/>
              </w:rPr>
              <w:br/>
              <w:t>...e che non è necessario alla risoluzione della controversia. Ciò è ancora più deplorevole in quanto, per risolvere la specifica controversia di cui è stata investita, non era necessario che la maggioranza si addentrasse così a fondo nei principi, dato che gli atti denunciati dal ricorrente rientrano nella seconda categoria, ovvero quella degli atti reprensibili, e che lo stesso riconoscimento di tale categoria è un’innovazione.</w:t>
            </w:r>
            <w:r w:rsidRPr="00C969C1">
              <w:rPr>
                <w:i/>
                <w:iCs/>
              </w:rPr>
              <w:br/>
              <w:t xml:space="preserve">Un precedente non citato. Un’altra causa che combina libertà di espressione e segreto professionale non è stata citata nella presente sentenza. Si tratta della causa </w:t>
            </w:r>
            <w:proofErr w:type="spellStart"/>
            <w:r w:rsidRPr="00C969C1">
              <w:rPr>
                <w:i/>
                <w:iCs/>
              </w:rPr>
              <w:t>Éditions</w:t>
            </w:r>
            <w:proofErr w:type="spellEnd"/>
            <w:r w:rsidRPr="00C969C1">
              <w:rPr>
                <w:i/>
                <w:iCs/>
              </w:rPr>
              <w:t xml:space="preserve"> Plon c. Francia (n. 58148/00, CEDU 2004 IV), in cui la Corte è stata chiamata a pronunciarsi su una asserita violazione dell’articolo 10 della Convenzione dedotta da un editore cui i tribunali francesi avevano vietato, all’inizio temporaneamente e poi definitivamente, di distribuire un libro scritto congiuntamente da un giornalista e dal medico personale del presidente Mitterrand. Il libro descriveva gli sforzi compiuti per nascondere al pubblico il cancro da cui era affetto il presidente, che era stato diagnosticato poco dopo la sua elezione nel 1981. Pur non criticando il divieto temporaneo di distribuzione del libro, che era stato imposto in un contesto di forti emozioni e di grave pregiudizio alla reputazione del defunto presidente, la Corte ha tuttavia ritenuto che la continuazione di tale divieto non fosse giustificata. Ha ammesso che “più trascorreva il tempo, più l’interesse pubblico alla discussione della storia dei (…) due mandati presidenziali prevaleva sul requisito della tutela dei diritti del presidente relativi al segreto medico” (Plon, sopra citata, § 53). Ad ogni modo, e questo è il punto rilevante nel contesto della causa </w:t>
            </w:r>
            <w:bookmarkStart w:id="58" w:name="hitd0p264"/>
            <w:proofErr w:type="spellStart"/>
            <w:r w:rsidRPr="00C969C1">
              <w:rPr>
                <w:i/>
                <w:iCs/>
              </w:rPr>
              <w:t>Halet</w:t>
            </w:r>
            <w:bookmarkEnd w:id="58"/>
            <w:proofErr w:type="spellEnd"/>
            <w:r w:rsidRPr="00C969C1">
              <w:rPr>
                <w:i/>
                <w:iCs/>
              </w:rPr>
              <w:t>, la sentenza sottolineava che “ciò certamente non significa che la Corte ritenga che le esigenze del dibattito storico possano esonerare i medici dall’obbligo del segreto medico che, nel diritto francese è generale e assoluto, tranne che nei casi assolutamente eccezionali previsti dalla legge” (</w:t>
            </w:r>
            <w:proofErr w:type="spellStart"/>
            <w:r w:rsidRPr="00C969C1">
              <w:rPr>
                <w:i/>
                <w:iCs/>
              </w:rPr>
              <w:t>ibid</w:t>
            </w:r>
            <w:proofErr w:type="spellEnd"/>
            <w:r w:rsidRPr="00C969C1">
              <w:rPr>
                <w:i/>
                <w:iCs/>
              </w:rPr>
              <w:t>, § 53).</w:t>
            </w:r>
            <w:r w:rsidRPr="00C969C1">
              <w:rPr>
                <w:i/>
                <w:iCs/>
              </w:rPr>
              <w:br/>
              <w:t>La sentenza Plon, pertanto, distingue scrupolosamente tra l’obbligo del segreto professionale gravante su alcune persone depositarie di informazioni sensibili e la libertà di comunicare, a certe condizioni, tali informazioni di cui godono le persone non vincolate da tale segreto, in primo luogo i giornalisti e, in tale specifica causa, la società editrice.</w:t>
            </w:r>
            <w:r w:rsidRPr="00C969C1">
              <w:rPr>
                <w:i/>
                <w:iCs/>
              </w:rPr>
              <w:br/>
              <w:t>II. L’applicazione di tali principi al caso di specie</w:t>
            </w:r>
            <w:r w:rsidRPr="00C969C1">
              <w:rPr>
                <w:i/>
                <w:iCs/>
              </w:rPr>
              <w:br/>
              <w:t xml:space="preserve">L’approccio adottato nella sentenza all’esame della Corte. La sentenza, fedele al ruolo sussidiario della Corte, riconosce che i tribunali nazionali “[hanno] cercato di applicare la giurisprudenza della Corte fedelmente (fatto, peraltro, che ha costituito il fondamento dell’assoluzione di A.D. dall’accusa di aver consegnato documenti relativi alle attività della PwC e alle prassi delle autorità fiscali lussemburghesi al giornalista E.P. (…), e di esporre in modo dettagliato i vari passaggi del </w:t>
            </w:r>
            <w:r w:rsidRPr="00C969C1">
              <w:rPr>
                <w:i/>
                <w:iCs/>
              </w:rPr>
              <w:lastRenderedPageBreak/>
              <w:t>ragionamento seguito” (si veda il paragrafo166 della presente sentenza).</w:t>
            </w:r>
            <w:r w:rsidRPr="00C969C1">
              <w:rPr>
                <w:i/>
                <w:iCs/>
              </w:rPr>
              <w:br/>
              <w:t xml:space="preserve">La Corte dichiara che cionondimeno applicherà i criteri di esame definiti dalla sentenza </w:t>
            </w:r>
            <w:proofErr w:type="spellStart"/>
            <w:r w:rsidRPr="00C969C1">
              <w:rPr>
                <w:i/>
                <w:iCs/>
              </w:rPr>
              <w:t>Guja</w:t>
            </w:r>
            <w:proofErr w:type="spellEnd"/>
            <w:r w:rsidRPr="00C969C1">
              <w:rPr>
                <w:i/>
                <w:iCs/>
              </w:rPr>
              <w:t>, osservando che li aveva “perfezionati” e che le specificità della presente causa necessitavano di alcune ulteriori precisazioni. Intende poi, dopo aver anzitutto esaminato le modalità di applicazione da parte dei tribunali interni della tutela accordata agli autori di segnalazioni di illeciti o irregolarità, pronunciarsi sulla loro compatibilità con i principi e i criteri definiti dalla sua giurisprudenza e infine, qualora sia necessario, applicarli essa stessa al caso di specie (si veda il paragrafo 158 della sentenza).</w:t>
            </w:r>
            <w:r w:rsidRPr="00C969C1">
              <w:rPr>
                <w:i/>
                <w:iCs/>
              </w:rPr>
              <w:br/>
              <w:t xml:space="preserve">Un problema di metodo. È un fatto che la maggioranza nel “perfezionare” i criteri </w:t>
            </w:r>
            <w:proofErr w:type="spellStart"/>
            <w:r w:rsidRPr="00C969C1">
              <w:rPr>
                <w:i/>
                <w:iCs/>
              </w:rPr>
              <w:t>Guja</w:t>
            </w:r>
            <w:proofErr w:type="spellEnd"/>
            <w:r w:rsidRPr="00C969C1">
              <w:rPr>
                <w:i/>
                <w:iCs/>
              </w:rPr>
              <w:t xml:space="preserve"> li abbia modificati sostanzialmente. </w:t>
            </w:r>
            <w:proofErr w:type="gramStart"/>
            <w:r w:rsidRPr="00C969C1">
              <w:rPr>
                <w:i/>
                <w:iCs/>
              </w:rPr>
              <w:t>In particolare</w:t>
            </w:r>
            <w:proofErr w:type="gramEnd"/>
            <w:r w:rsidRPr="00C969C1">
              <w:rPr>
                <w:i/>
                <w:iCs/>
              </w:rPr>
              <w:t xml:space="preserve"> ha attribuito un contenuto del tutto nuovo al fondamentale concetto di interesse pubblico inerente alle informazioni divulgate e, in particolare, al pregiudizio causato, adottando così una nuova interpretazione del danno provocato non soltanto al datore di lavoro ma anche all’interesse pubblico. Ciò di per sé non rappresenta un problema poiché la Corte in diverse occasioni nel passato ha modificato la sua giurisprudenza e ha poi applicato i nuovi criteri a fatti che i tribunali interni avevano esaminato nell’ottica della precedente giurisprudenza. Così, per esempio, nella causa Sergey </w:t>
            </w:r>
            <w:proofErr w:type="spellStart"/>
            <w:r w:rsidRPr="00C969C1">
              <w:rPr>
                <w:i/>
                <w:iCs/>
              </w:rPr>
              <w:t>Zolotukhin</w:t>
            </w:r>
            <w:proofErr w:type="spellEnd"/>
            <w:r w:rsidRPr="00C969C1">
              <w:rPr>
                <w:i/>
                <w:iCs/>
              </w:rPr>
              <w:t xml:space="preserve"> c. Russia ([GC], n. 14939/03, CEDU 2009) la Grande Camera, dopo aver modificato il suo approccio alla regola del ne bis in idem, ha immediatamente applicato i nuovi criteri ai fatti di tale causa.</w:t>
            </w:r>
            <w:r w:rsidRPr="00C969C1">
              <w:rPr>
                <w:i/>
                <w:iCs/>
              </w:rPr>
              <w:br/>
              <w:t xml:space="preserve">Nel caso di specie, la maggioranza come primo passo applica i nuovi criteri non ai fatti della causa bensì al ragionamento della Corte di appello. Tuttavia, date le fondamentali modifiche apportate ai criteri di valutazione, sarebbe un puro caso se, dopo aver svolto il loro esercizio di bilanciamento in conformità ai vecchi criteri </w:t>
            </w:r>
            <w:proofErr w:type="spellStart"/>
            <w:r w:rsidRPr="00C969C1">
              <w:rPr>
                <w:i/>
                <w:iCs/>
              </w:rPr>
              <w:t>Guja</w:t>
            </w:r>
            <w:proofErr w:type="spellEnd"/>
            <w:r w:rsidRPr="00C969C1">
              <w:rPr>
                <w:i/>
                <w:iCs/>
              </w:rPr>
              <w:t>, i tribunali interni fossero pervenuti a una conclusione corrispondente alla chiave di lettura dei criteri modificati. In questo senso sarebbe risultato più logico che la Grande Camera avesse iniziato effettuando subito il proprio esercizio di bilanciamento e poi avesse determinato, alla luce di tale esercizio, se fosse ancora giustificato l’esito cui erano pervenuti i tribunali interni applicando i vecchi criteri.</w:t>
            </w:r>
            <w:r w:rsidRPr="00C969C1">
              <w:rPr>
                <w:i/>
                <w:iCs/>
              </w:rPr>
              <w:br/>
              <w:t>Invece la sentenza applica, almeno in parte, i criteri nuovamente formulati ai criteri di controllo utilizzati dai tribunali interni e, al termine del suo esame, conclude che la ponderazione dei rispettivi interessi effettuata da questi ultimi non corrisponde ai suddetti nuovi requisiti, dopo di che procede a svolgere un proprio esercizio di bilanciamento (si veda il paragrafo 201 della presente sentenza) – un’operazione che avrebbe potuto e dovuto e effettuare sin dall’inizio, senza questo passaggio superfluo.</w:t>
            </w:r>
            <w:r w:rsidRPr="00C969C1">
              <w:rPr>
                <w:i/>
                <w:iCs/>
              </w:rPr>
              <w:br/>
              <w:t xml:space="preserve">Una possibile soluzione: la modulazione temporale degli effetti delle sentenze della Corte. Benché la sentenza proclami di “precisare” i principi definiti dalla giurisprudenza </w:t>
            </w:r>
            <w:proofErr w:type="spellStart"/>
            <w:r w:rsidRPr="00C969C1">
              <w:rPr>
                <w:i/>
                <w:iCs/>
              </w:rPr>
              <w:t>Guja</w:t>
            </w:r>
            <w:proofErr w:type="spellEnd"/>
            <w:r w:rsidRPr="00C969C1">
              <w:rPr>
                <w:i/>
                <w:iCs/>
              </w:rPr>
              <w:t>, in realtà non è eccessivo parlare di discostamento dalla giurisprudenza. Poiché le sentenze della Corte hanno un effetto dichiaratorio e quindi retroattivo ne consegue inevitabilmente che quei tribunali interni che hanno applicato la giurisprudenza della Corte come si presentava al momento di pronunciare la sentenza si trovano per forza in contrasto con i nuovi criteri. Nel caso di specie ciò ha comportato una constatazione di violazione della Convenzione, nonostante la fedele applicazione della giurisprudenza della Corte da parte della Corte di appello.</w:t>
            </w:r>
            <w:r w:rsidRPr="00C969C1">
              <w:rPr>
                <w:i/>
                <w:iCs/>
              </w:rPr>
              <w:br/>
              <w:t xml:space="preserve">Per evitare le conseguenze indesiderabili di tale stato di cose, la Corte al pari di altri tribunali </w:t>
            </w:r>
            <w:r w:rsidRPr="00C969C1">
              <w:rPr>
                <w:i/>
                <w:iCs/>
              </w:rPr>
              <w:lastRenderedPageBreak/>
              <w:t>internazionali e nazionali (si veda per esempio la Corte di giustizia dell’Unione europea e diverse corti supreme nazionali), potrebbe prendere in considerazione di istituire la possibilità di una modulazione temporale degli effetti delle sue sentenze.</w:t>
            </w:r>
            <w:r w:rsidRPr="00C969C1">
              <w:rPr>
                <w:i/>
                <w:iCs/>
              </w:rPr>
              <w:br/>
              <w:t>L’esercizio di bilanciamento. In ordine all’esercizio di bilanciamento condotto con i nuovi criteri, ci si potrebbe chiedere se la maggioranza abbia tenuto sufficientemente conto dei fatti specifici della causa e se abbia rispettato il margine di discrezionalità concesso in materia alle autorità nazionali (si veda il paragrafo 110 della sentenza che cita la pertinente giurisprudenza della Corte).</w:t>
            </w:r>
            <w:r w:rsidRPr="00C969C1">
              <w:rPr>
                <w:i/>
                <w:iCs/>
              </w:rPr>
              <w:br/>
              <w:t xml:space="preserve">Il contesto: tre imputati. Occorre considerare i fatti della causa nel loro insieme, poiché i tribunali interni hanno processato tre imputati, ovvero A.D., E.P. e il ricorrente contemporaneamente. E.P., il giornalista, è stato immediatamente assolto. Anche A.D., che aveva chiaramente agito in mala fede (aveva rubato e conservato gli ATA successivamente trasmessi al giornalista per un anno prima di consegnarli, in attesa del momento in cui avrebbero meglio giovato ai suoi interessi), è stato assolto, poiché i tribunali interni avevano ritenuto, alla luce dei sei criteri </w:t>
            </w:r>
            <w:proofErr w:type="spellStart"/>
            <w:r w:rsidRPr="00C969C1">
              <w:rPr>
                <w:i/>
                <w:iCs/>
              </w:rPr>
              <w:t>Guja</w:t>
            </w:r>
            <w:proofErr w:type="spellEnd"/>
            <w:r w:rsidRPr="00C969C1">
              <w:rPr>
                <w:i/>
                <w:iCs/>
              </w:rPr>
              <w:t>, interpretati estensivamente, che dovesse essergli accordato lo status di autore di segnalazioni di illeciti o irregolarità. La Corte di appello, in particolare, aveva osservato che le rivelazioni impugnate toccavano una questione di pubblico interesse poiché avevano “aperto la strada al dibattito pubblico in Europa e nel </w:t>
            </w:r>
            <w:bookmarkStart w:id="59" w:name="hitd0p268"/>
            <w:r w:rsidRPr="00C969C1">
              <w:rPr>
                <w:i/>
                <w:iCs/>
              </w:rPr>
              <w:t>Lussemburgo</w:t>
            </w:r>
            <w:bookmarkEnd w:id="59"/>
            <w:r w:rsidRPr="00C969C1">
              <w:rPr>
                <w:i/>
                <w:iCs/>
              </w:rPr>
              <w:t xml:space="preserve"> sulla tassazione (…) delle società multinazionali, sulla trasparenza fiscale, sulla pratica degli ATA e sull’equità fiscale in generale” nonché che a seguito delle rivelazioni dello scandalo </w:t>
            </w:r>
            <w:proofErr w:type="spellStart"/>
            <w:r w:rsidRPr="00C969C1">
              <w:rPr>
                <w:i/>
                <w:iCs/>
              </w:rPr>
              <w:t>Luxleaks</w:t>
            </w:r>
            <w:proofErr w:type="spellEnd"/>
            <w:r w:rsidRPr="00C969C1">
              <w:rPr>
                <w:i/>
                <w:iCs/>
              </w:rPr>
              <w:t xml:space="preserve"> la Commissione europea aveva presentato un pacchetto di misure contro l’evasione fiscale e un piano di azione per una tassazione equa ed efficace delle imprese nell’Unione europea (si veda il paragrafo 32 della sentenza). Non si può dunque accusare i tribunali interni di non aver dimostrato sufficiente volontà di proteggere gli autori di segnalazioni, come invero riconosce espressamente la sentenza (si veda il paragrafo166).</w:t>
            </w:r>
            <w:r w:rsidRPr="00C969C1">
              <w:rPr>
                <w:i/>
                <w:iCs/>
              </w:rPr>
              <w:br/>
              <w:t xml:space="preserve">Le tre critiche ai tribunali interni espresse nella sentenza. Applicando i nuovi criteri ai fatti analizzati dai tribunali nazionali alla luce dei precedenti criteri </w:t>
            </w:r>
            <w:proofErr w:type="spellStart"/>
            <w:r w:rsidRPr="00C969C1">
              <w:rPr>
                <w:i/>
                <w:iCs/>
              </w:rPr>
              <w:t>Guja</w:t>
            </w:r>
            <w:proofErr w:type="spellEnd"/>
            <w:r w:rsidRPr="00C969C1">
              <w:rPr>
                <w:i/>
                <w:iCs/>
              </w:rPr>
              <w:t>, la sentenza indirizza a tali tribunali tre critiche principali, ovvero: a) avevano errato nel ritenere che le informazioni rivelate dal ricorrente non fossero né essenziali né nuove; b) di fronte alla rivelazione di informazioni ritenute di pubblico interesse non avevano correttamente collocato “sull’altro piatto della bilancia tutti gli effetti lesivi di cui si sarebbe dovuto tenere conto” (si veda il paragrafo 200 della sentenza); e, infine, c) non avevano valutato correttamente la proporzionalità o meno della sanzione inflitta al ricorrente (si veda il paragrafo 205 della sentenza).</w:t>
            </w:r>
            <w:r w:rsidRPr="00C969C1">
              <w:rPr>
                <w:i/>
                <w:iCs/>
              </w:rPr>
              <w:br/>
              <w:t xml:space="preserve">La valutazione dei tribunali interni relativa al valore dei documenti consegnati dal ricorrente. Dai fatti risulta (si veda, in particolare il paragrafo 14 della sentenza) che a seguito delle rivelazioni dei media riguardanti alcuni degli ATA rubati da A.D., il ricorrente (la cui posizione era stata esaminata dalla stessa sentenza che aveva trattato la posizione di A.D. ed E.P.) aveva a sua volta contattato E.P. offrendosi di consegnargli altri documenti. </w:t>
            </w:r>
            <w:proofErr w:type="gramStart"/>
            <w:r w:rsidRPr="00C969C1">
              <w:rPr>
                <w:i/>
                <w:iCs/>
              </w:rPr>
              <w:t>Alla fine</w:t>
            </w:r>
            <w:proofErr w:type="gramEnd"/>
            <w:r w:rsidRPr="00C969C1">
              <w:rPr>
                <w:i/>
                <w:iCs/>
              </w:rPr>
              <w:t xml:space="preserve"> erano stati consegnati sedici documenti, tra cui vi erano quattordici dichiarazioni dei redditi di società multinazionali. Dalla sentenza di primo grado risulta che il ricorrente aveva affermato di aver contattato il giornalista “per aiutarlo nella sua inchiesta giacché egli aveva visto la trasmissione ‘Cash </w:t>
            </w:r>
            <w:proofErr w:type="spellStart"/>
            <w:r w:rsidRPr="00C969C1">
              <w:rPr>
                <w:i/>
                <w:iCs/>
              </w:rPr>
              <w:t>investigation</w:t>
            </w:r>
            <w:proofErr w:type="spellEnd"/>
            <w:r w:rsidRPr="00C969C1">
              <w:rPr>
                <w:i/>
                <w:iCs/>
              </w:rPr>
              <w:t xml:space="preserve">’ e aveva pensato che [simili] accordi finanziari fossero illegali e lo avevano scioccato”. Risulta anche che la sua scelta era stata guidata esclusivamente dalla notorietà delle società in questione. Non sembra esagerato </w:t>
            </w:r>
            <w:r w:rsidRPr="00C969C1">
              <w:rPr>
                <w:i/>
                <w:iCs/>
              </w:rPr>
              <w:lastRenderedPageBreak/>
              <w:t xml:space="preserve">affermare, e questo era certamente il parere dei tribunali interni, che il ricorrente voleva assolutamente partecipare alle rivelazioni dello scandalo </w:t>
            </w:r>
            <w:proofErr w:type="spellStart"/>
            <w:r w:rsidRPr="00C969C1">
              <w:rPr>
                <w:i/>
                <w:iCs/>
              </w:rPr>
              <w:t>Luxleaks</w:t>
            </w:r>
            <w:proofErr w:type="spellEnd"/>
            <w:r w:rsidRPr="00C969C1">
              <w:rPr>
                <w:i/>
                <w:iCs/>
              </w:rPr>
              <w:t xml:space="preserve"> ma aveva ben poco da offrire, si era dovuto contentare di proporre al giornalista, che aveva dovuto essere convinto, delle dichiarazioni dei redditi che, secondo i tribunali interni, “non avevano contribuito al dibattito pubblico sulla pratica lussemburghese degli ATA né avevano innescato il dibattito sull’evasione fiscale, o fornito informazioni essenziali, nuove e inedite”.</w:t>
            </w:r>
            <w:r w:rsidRPr="00C969C1">
              <w:rPr>
                <w:i/>
                <w:iCs/>
              </w:rPr>
              <w:br/>
              <w:t>Critica al criterio della comunicazione di informazioni essenziali, nuove e inedite. Nell’esaminare se i tribunali interni avessero o meno ecceduto il loro margine di discrezionalità, la sentenza osserva “il semplice fatto che il dibattito pubblico sulle pratiche fiscali del </w:t>
            </w:r>
            <w:bookmarkStart w:id="60" w:name="hitd0p272"/>
            <w:r w:rsidRPr="00C969C1">
              <w:rPr>
                <w:i/>
                <w:iCs/>
              </w:rPr>
              <w:t>Lussemburgo</w:t>
            </w:r>
            <w:bookmarkEnd w:id="60"/>
            <w:r w:rsidRPr="00C969C1">
              <w:rPr>
                <w:i/>
                <w:iCs/>
              </w:rPr>
              <w:t> fosse già in corso quando il ricorrente aveva rivelato le informazioni impugnate non può di per sé escludere l’eventualità che anche esse potessero essere di pubblico interesse ai fini di tale dibattito, il quale aveva suscitato controversie sulle pratiche fiscali delle società in Europa e in particolare in Francia (…), e sul legittimo interesse del pubblico a venirne a conoscenza” (si veda il paragrafo 184 della sentenza).</w:t>
            </w:r>
            <w:r w:rsidRPr="00C969C1">
              <w:rPr>
                <w:i/>
                <w:iCs/>
              </w:rPr>
              <w:br/>
              <w:t>Il criterio della comunicazione di informazioni essenziali, nuove e inedite, però, non è il solo utilizzato dalla Corte di appello per constatare che le informazioni in questione non presentavano un interesse sufficiente a consentire la concessione al ricorrente dello status di autore di segnalazioni di illeciti o irregolarità; la Corte di appello ha ritenuto che anche altri criteri non fossero soddisfatti, ovvero quello del contributo al dibattito pubblico sugli ATA e quello dell’innesco di un dibattito sull’evasione fiscale. La sentenza, pertanto, non rende giustizia al ragionamento della Corte di appello.</w:t>
            </w:r>
            <w:r w:rsidRPr="00C969C1">
              <w:rPr>
                <w:i/>
                <w:iCs/>
              </w:rPr>
              <w:br/>
              <w:t xml:space="preserve">La valutazione dei rispettivi interessi in gioco. Che sia in base ai criteri di valutazione </w:t>
            </w:r>
            <w:proofErr w:type="spellStart"/>
            <w:r w:rsidRPr="00C969C1">
              <w:rPr>
                <w:i/>
                <w:iCs/>
              </w:rPr>
              <w:t>Guja</w:t>
            </w:r>
            <w:proofErr w:type="spellEnd"/>
            <w:r w:rsidRPr="00C969C1">
              <w:rPr>
                <w:i/>
                <w:iCs/>
              </w:rPr>
              <w:t xml:space="preserve"> tradizionali o a quelli potenziati (qui non rileva), la sentenza critica i tribunali nazionali perché non hanno tenuto conto di tutti gli effetti lesivi provocati dalle rivelazioni del ricorrente. A tal fine sottolinea che, a parte il danno di reputazione subito dal datore di lavoro del ricorrente, la PwC, che essa non nega (si veda il paragrafo 194), i tribunali interni non hanno tenuto conto di altri due tipi di danno: in primo luogo il danno provocato ai clienti della PwC, in quanto le rivelazioni riguardavano la loro situazione e potevano avere un impatto sulla loro reputazione (si veda il paragrafo 196 della sentenza); in secondo luogo, come sottolineato in particolar modo dalla sentenza, l’effetto lesivo prodotto sugli interessi pubblici coinvolti, in particolare sul segreto professionale “il [cui] scopo è garantire la credibilità di alcune professioni favorendo il rapporto di fiducia tra professionista e cliente. Si tratta inoltre di un principio di ordine pubblico la cui violazione può essere punita dal diritto penale” (si veda il paragrafo 197). La sentenza pertanto critica la Corte di appello per aver tenuto conto soltanto del danno subito dalla PwC “la cui ricaduta sugli affari e la reputazione di tale società [essa] non aveva esaminato” e osserva che, trascurando di “tenere conto anche del pregiudizio causato agli interessi privati dei clienti della PwC e dell’interesse pubblico alla prevenzione e alla repressione del furto e al rispetto del segreto professionale, [la Corte di appello] non aveva tenuto conto a sufficienza, come avrebbe dovuto, delle specificità della presente causa” (si veda il paragrafo 201 della sentenza).</w:t>
            </w:r>
            <w:r w:rsidRPr="00C969C1">
              <w:rPr>
                <w:i/>
                <w:iCs/>
              </w:rPr>
              <w:br/>
              <w:t xml:space="preserve">La sorprendente conclusione relativa all’esercizio di bilanciamento. Tenuto conto del considerevole peso aggiunto allo “altro piatto della bilancia”, raggruppante i vari tipi di danno provocato dalle </w:t>
            </w:r>
            <w:r w:rsidRPr="00C969C1">
              <w:rPr>
                <w:i/>
                <w:iCs/>
              </w:rPr>
              <w:lastRenderedPageBreak/>
              <w:t>rivelazioni, è ancor più sorprendente constatare che la sentenza, dopo aver svolto il proprio esercizio di bilanciamento degli interessi in gioco, conclude che l’interesse pubblico caratterizzato dalla “importanza a livello nazionale ed europeo del dibattito pubblico sulle pratiche fiscali delle società multinazionali, al quale le informazioni rivelate dal ricorrente hanno apportato un contributo essenziale” prevale sull’insieme degli effetti lesivi. Tale conclusione giunge dopo che la Corte ha ripetutamente sottolineato che essa “non può trascurare il fatto che le rivelazioni impugnate sono state possibili grazie al furto di dati e alla violazione del segreto professionale cui il ricorrente era tenuto” (si veda il paragrafo 202 della sentenza). Occorre aggiungere che, dopo un esame minuzioso dei documenti divulgati, i tribunali nazionali, operando una distinzione tra le situazioni in esame, avevano ritenuto che i documenti rivelati da A.D. avessero apportato un contributo essenziale al dibattito pubblico relativo alle pratiche fiscali delle società multinazionali, mentre non era questo il caso dei documenti divulgati dal ricorrente. In tale contesto si può rammentare che l’interesse presentato dalle rivelazioni decresce a seconda che esse appartengano alla prima, alla seconda o alla terza categoria. Nel caso di specie, però, esse chiaramente non fanno parte della prima categoria.</w:t>
            </w:r>
            <w:r w:rsidRPr="00C969C1">
              <w:rPr>
                <w:i/>
                <w:iCs/>
              </w:rPr>
              <w:br/>
              <w:t>La severità della sanzione. In ordine alla severità della sanzione la sentenza ritiene che, tenuto conto “della natura delle sanzioni inflitte e della gravità degli effetti derivanti dal loro cumulo, in particolare dell’effetto dissuasivo sulla libertà di espressione del ricorrente o di qualunque altro autore di segnalazioni, un aspetto che non sembra che la Corte di appello abbia in alcun modo considerato, e soprattutto tenendo presente la conclusione cui quest’ultima è pervenuta dopo aver ponderato gli interessi in gioco, (…) la condanna penale del ricorrente non possa essere considerata proporzionata alla luce del legittimo fine perseguito (si veda il paragrafo 205 della sentenza).</w:t>
            </w:r>
            <w:r w:rsidRPr="00C969C1">
              <w:rPr>
                <w:i/>
                <w:iCs/>
              </w:rPr>
              <w:br/>
              <w:t>Il licenziamento. Quali sanzioni sono state inflitte in realtà? In primo luogo, il licenziamento con preavviso, dopo che il ricorrente aveva ammesso i fatti e aveva accettato l’iscrizione di un’ipoteca di dieci milioni di euro sui suoi beni. Possiamo parlare di sanzione in tale contesto? Certamente, se il ricorrente fosse stato licenziato senza preavviso. La misura qui appare piuttosto il segno della perdita di fiducia tra le parti, una situazione più affine a un “divorzio consensuale”. Anche l’autorizzazione all’iscrizione di un’ipoteca di dieci milioni rivela la percezione comune alle parti in quel preciso momento della grande importanza del danno provocato alla PwC, percezione che soltanto successivamente si è dimostrata falsa.</w:t>
            </w:r>
            <w:r w:rsidRPr="00C969C1">
              <w:rPr>
                <w:i/>
                <w:iCs/>
              </w:rPr>
              <w:br/>
              <w:t>La multa. Le accuse a carico del ricorrente esaminate dalla Corte di appello prevedevano una pena facoltativa compresa tra tre mesi e cinque anni di reclusione e una multa obbligatoria compresa tra 251 e 5.000 euro. La Corte di appello ha ritenuto: “David </w:t>
            </w:r>
            <w:bookmarkStart w:id="61" w:name="hitd0p276"/>
            <w:r w:rsidRPr="00C969C1">
              <w:rPr>
                <w:i/>
                <w:iCs/>
              </w:rPr>
              <w:t>HALET</w:t>
            </w:r>
            <w:bookmarkEnd w:id="61"/>
            <w:r w:rsidRPr="00C969C1">
              <w:rPr>
                <w:i/>
                <w:iCs/>
              </w:rPr>
              <w:t xml:space="preserve"> non soddisfa il criterio del bilanciamento degli interessi in gioco e, di conseguenza, non può beneficiare della protezione completa di cui all’articolo 10 della Convenzione, può tuttavia invocare una protezione minore che, ai sensi del diritto lussemburghese, si traduce nella concessione delle circostanze attenuanti.” Riconoscendo la buona fede dell’imputato, la Corte di appello si è limitata a infliggere una multa di 1.000 euro (a differenza del tribunale di primo grado che aveva condannato il ricorrente, con pena interamente sospesa, a nove mesi di reclusione). Una simile pena non può essere considerata intrinsecamente sproporzionata, può apparire tale soltanto qualora di concluda che al ricorrente non doveva essere inflitta alcuna sanzione penale e tale è la conclusione cui perviene la sentenza (si </w:t>
            </w:r>
            <w:r w:rsidRPr="00C969C1">
              <w:rPr>
                <w:i/>
                <w:iCs/>
              </w:rPr>
              <w:lastRenderedPageBreak/>
              <w:t xml:space="preserve">vedano i paragrafi 204 et </w:t>
            </w:r>
            <w:proofErr w:type="spellStart"/>
            <w:r w:rsidRPr="00C969C1">
              <w:rPr>
                <w:i/>
                <w:iCs/>
              </w:rPr>
              <w:t>seq</w:t>
            </w:r>
            <w:proofErr w:type="spellEnd"/>
            <w:r w:rsidRPr="00C969C1">
              <w:rPr>
                <w:i/>
                <w:iCs/>
              </w:rPr>
              <w:t>.). Ci si può tuttavia chiedere se, nel far ciò, la sentenza non abbia privato il criterio della “sanzione” del suo carattere autonomo, trasformandolo invece in un aspetto del criterio del bilanciamento tra l’interesse presentato dalle informazioni rivelate e gli effetti lesivi di queste ultime.</w:t>
            </w:r>
            <w:r w:rsidRPr="00C969C1">
              <w:rPr>
                <w:i/>
                <w:iCs/>
              </w:rPr>
              <w:br/>
              <w:t xml:space="preserve">Conclusione. Constatando che i tribunali interni hanno preso in considerazione tutte le prove raccolte nel caso di specie, compreso il contesto fattuale (che riguardava più persone che rivendicavano la protezione accordata agli autori di segnalazioni di illeciti o irregolarità), che hanno tenuto scrupolosamente conto dei criteri fissati dalla Corte nella giurisprudenza </w:t>
            </w:r>
            <w:proofErr w:type="spellStart"/>
            <w:r w:rsidRPr="00C969C1">
              <w:rPr>
                <w:i/>
                <w:iCs/>
              </w:rPr>
              <w:t>Guja</w:t>
            </w:r>
            <w:proofErr w:type="spellEnd"/>
            <w:r w:rsidRPr="00C969C1">
              <w:rPr>
                <w:i/>
                <w:iCs/>
              </w:rPr>
              <w:t>, e che hanno ponderato tutti tali elementi, siamo profondamente convinti che, nel rifiutare al ricorrente la protezione completa derivante dallo status di autore di segnalazioni di illeciti o irregolarità, tali tribunali siano rimasti entro i limiti del loro margine di discrezionalità e non abbiano violato l’articolo 10 della Convenzione.</w:t>
            </w:r>
            <w:r w:rsidRPr="00C969C1">
              <w:rPr>
                <w:i/>
                <w:iCs/>
              </w:rPr>
              <w:br/>
            </w:r>
            <w:r w:rsidRPr="00C969C1">
              <w:rPr>
                <w:i/>
                <w:iCs/>
              </w:rPr>
              <w:t> </w:t>
            </w:r>
            <w:r w:rsidRPr="00C969C1">
              <w:rPr>
                <w:i/>
                <w:iCs/>
              </w:rPr>
              <w:br/>
              <w:t>DICHIARAZIONE DI DISSENSO DEL GIUDICE KJØLBRO</w:t>
            </w:r>
            <w:r w:rsidRPr="00C969C1">
              <w:rPr>
                <w:i/>
                <w:iCs/>
              </w:rPr>
              <w:br/>
              <w:t>Ho votato contro la constatazione di violazione dell’articolo 10 della Convenzione (primo punto del dispositivo).</w:t>
            </w:r>
            <w:r w:rsidRPr="00C969C1">
              <w:rPr>
                <w:i/>
                <w:iCs/>
              </w:rPr>
              <w:br/>
              <w:t>Mi dissocio dal ragionamento esposto dalla Corte nella sentenza su due punti.</w:t>
            </w:r>
            <w:r w:rsidRPr="00C969C1">
              <w:rPr>
                <w:i/>
                <w:iCs/>
              </w:rPr>
              <w:br/>
              <w:t xml:space="preserve">In primo luogo, non approvo l’ulteriore sviluppo impresso dalla Corte ai principi generali riguardanti il cosiddetto “secondo criterio </w:t>
            </w:r>
            <w:proofErr w:type="spellStart"/>
            <w:r w:rsidRPr="00C969C1">
              <w:rPr>
                <w:i/>
                <w:iCs/>
              </w:rPr>
              <w:t>Guja</w:t>
            </w:r>
            <w:proofErr w:type="spellEnd"/>
            <w:r w:rsidRPr="00C969C1">
              <w:rPr>
                <w:i/>
                <w:iCs/>
              </w:rPr>
              <w:t xml:space="preserve"> “, ovvero quello dello “interesse pubblico presentato dalle informazioni divulgate” (si vedano i paragrafi da 131 a 144), con il quale la Corte estende la protezione concessa agli autori di segnalazioni di illeciti o irregolarità non soltanto alle (i) “condotte illecite” (espressione utilizzata nella sentenza </w:t>
            </w:r>
            <w:proofErr w:type="spellStart"/>
            <w:r w:rsidRPr="00C969C1">
              <w:rPr>
                <w:i/>
                <w:iCs/>
              </w:rPr>
              <w:t>Guja</w:t>
            </w:r>
            <w:proofErr w:type="spellEnd"/>
            <w:r w:rsidRPr="00C969C1">
              <w:rPr>
                <w:i/>
                <w:iCs/>
              </w:rPr>
              <w:t xml:space="preserve">) o agli “atti illeciti” (espressione utilizzata nella presente sentenza) e agli (ii) “atti illeciti” (espressione utilizzata nella sentenza </w:t>
            </w:r>
            <w:proofErr w:type="spellStart"/>
            <w:r w:rsidRPr="00C969C1">
              <w:rPr>
                <w:i/>
                <w:iCs/>
              </w:rPr>
              <w:t>Guja</w:t>
            </w:r>
            <w:proofErr w:type="spellEnd"/>
            <w:r w:rsidRPr="00C969C1">
              <w:rPr>
                <w:i/>
                <w:iCs/>
              </w:rPr>
              <w:t>) o agli “atti reprensibili ” (espressione utilizzata nella presente sentenza), ma anche alle (iii) “questioni che suscitano un dibattito da cui deriva una controversia sull’esistenza o meno di un danno all’interesse pubblico” (si vedano, in particolare, i paragrafi 138 e 140 della presente sentenza).</w:t>
            </w:r>
            <w:r w:rsidRPr="00C969C1">
              <w:rPr>
                <w:i/>
                <w:iCs/>
              </w:rPr>
              <w:br/>
              <w:t>In secondo luogo, e di conseguenza, non posso concordare con la maggioranza sull’applicazione di questo nuovo principio generale alle specifiche circostanze della presente causa.</w:t>
            </w:r>
            <w:r w:rsidRPr="00C969C1">
              <w:rPr>
                <w:i/>
                <w:iCs/>
              </w:rPr>
              <w:br/>
              <w:t>Nonostante il mio disaccordo di principio mi asterrò dallo sviluppare ulteriormente le mie argomentazioni giuridiche, limitandomi alla presente “dichiarazione di voto”.</w:t>
            </w:r>
            <w:r w:rsidRPr="00C969C1">
              <w:rPr>
                <w:i/>
                <w:iCs/>
              </w:rPr>
              <w:br/>
              <w:t>(TRADUZIONE A CURA DEL MINISTERO DELLA GIUSTIZIA)</w:t>
            </w:r>
          </w:p>
          <w:p w14:paraId="214287B4" w14:textId="77777777" w:rsidR="00C969C1" w:rsidRPr="00C969C1" w:rsidRDefault="00C969C1" w:rsidP="00C969C1">
            <w:r w:rsidRPr="00C969C1">
              <w:pict w14:anchorId="5CE8EE25">
                <v:rect id="_x0000_i1038" style="width:0;height:1.5pt" o:hralign="center" o:hrstd="t" o:hr="t" fillcolor="#a0a0a0" stroked="f"/>
              </w:pict>
            </w:r>
          </w:p>
        </w:tc>
      </w:tr>
    </w:tbl>
    <w:p w14:paraId="498B16CE" w14:textId="7083FD02" w:rsidR="003C3531" w:rsidRDefault="00C969C1">
      <w:proofErr w:type="spellStart"/>
      <w:r>
        <w:lastRenderedPageBreak/>
        <w:t>èppresidente</w:t>
      </w:r>
      <w:proofErr w:type="spellEnd"/>
    </w:p>
    <w:sectPr w:rsidR="003C3531">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BAFC" w14:textId="77777777" w:rsidR="007D1B2B" w:rsidRDefault="007D1B2B" w:rsidP="00C969C1">
      <w:pPr>
        <w:spacing w:after="0" w:line="240" w:lineRule="auto"/>
      </w:pPr>
      <w:r>
        <w:separator/>
      </w:r>
    </w:p>
  </w:endnote>
  <w:endnote w:type="continuationSeparator" w:id="0">
    <w:p w14:paraId="1AFEBDB0" w14:textId="77777777" w:rsidR="007D1B2B" w:rsidRDefault="007D1B2B" w:rsidP="00C96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052663"/>
      <w:docPartObj>
        <w:docPartGallery w:val="Page Numbers (Bottom of Page)"/>
        <w:docPartUnique/>
      </w:docPartObj>
    </w:sdtPr>
    <w:sdtContent>
      <w:p w14:paraId="6CF1F259" w14:textId="103DA5CE" w:rsidR="00C969C1" w:rsidRDefault="00C969C1">
        <w:pPr>
          <w:pStyle w:val="Pidipagina"/>
          <w:jc w:val="center"/>
        </w:pPr>
        <w:r>
          <w:fldChar w:fldCharType="begin"/>
        </w:r>
        <w:r>
          <w:instrText>PAGE   \* MERGEFORMAT</w:instrText>
        </w:r>
        <w:r>
          <w:fldChar w:fldCharType="separate"/>
        </w:r>
        <w:r>
          <w:t>2</w:t>
        </w:r>
        <w:r>
          <w:fldChar w:fldCharType="end"/>
        </w:r>
      </w:p>
    </w:sdtContent>
  </w:sdt>
  <w:p w14:paraId="322D1B50" w14:textId="77777777" w:rsidR="00C969C1" w:rsidRDefault="00C969C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06277" w14:textId="77777777" w:rsidR="007D1B2B" w:rsidRDefault="007D1B2B" w:rsidP="00C969C1">
      <w:pPr>
        <w:spacing w:after="0" w:line="240" w:lineRule="auto"/>
      </w:pPr>
      <w:r>
        <w:separator/>
      </w:r>
    </w:p>
  </w:footnote>
  <w:footnote w:type="continuationSeparator" w:id="0">
    <w:p w14:paraId="372881A9" w14:textId="77777777" w:rsidR="007D1B2B" w:rsidRDefault="007D1B2B" w:rsidP="00C969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C1"/>
    <w:rsid w:val="003C3531"/>
    <w:rsid w:val="003E30D8"/>
    <w:rsid w:val="0078364A"/>
    <w:rsid w:val="007D1B2B"/>
    <w:rsid w:val="00BB24E6"/>
    <w:rsid w:val="00C969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C81D"/>
  <w15:chartTrackingRefBased/>
  <w15:docId w15:val="{2D62275A-F1AB-4FD8-90F5-5791AC909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969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969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969C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969C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969C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969C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969C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969C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969C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969C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969C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969C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969C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969C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969C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969C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969C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969C1"/>
    <w:rPr>
      <w:rFonts w:eastAsiaTheme="majorEastAsia" w:cstheme="majorBidi"/>
      <w:color w:val="272727" w:themeColor="text1" w:themeTint="D8"/>
    </w:rPr>
  </w:style>
  <w:style w:type="paragraph" w:styleId="Titolo">
    <w:name w:val="Title"/>
    <w:basedOn w:val="Normale"/>
    <w:next w:val="Normale"/>
    <w:link w:val="TitoloCarattere"/>
    <w:uiPriority w:val="10"/>
    <w:qFormat/>
    <w:rsid w:val="00C96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969C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969C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969C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969C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969C1"/>
    <w:rPr>
      <w:i/>
      <w:iCs/>
      <w:color w:val="404040" w:themeColor="text1" w:themeTint="BF"/>
    </w:rPr>
  </w:style>
  <w:style w:type="paragraph" w:styleId="Paragrafoelenco">
    <w:name w:val="List Paragraph"/>
    <w:basedOn w:val="Normale"/>
    <w:uiPriority w:val="34"/>
    <w:qFormat/>
    <w:rsid w:val="00C969C1"/>
    <w:pPr>
      <w:ind w:left="720"/>
      <w:contextualSpacing/>
    </w:pPr>
  </w:style>
  <w:style w:type="character" w:styleId="Enfasiintensa">
    <w:name w:val="Intense Emphasis"/>
    <w:basedOn w:val="Carpredefinitoparagrafo"/>
    <w:uiPriority w:val="21"/>
    <w:qFormat/>
    <w:rsid w:val="00C969C1"/>
    <w:rPr>
      <w:i/>
      <w:iCs/>
      <w:color w:val="2F5496" w:themeColor="accent1" w:themeShade="BF"/>
    </w:rPr>
  </w:style>
  <w:style w:type="paragraph" w:styleId="Citazioneintensa">
    <w:name w:val="Intense Quote"/>
    <w:basedOn w:val="Normale"/>
    <w:next w:val="Normale"/>
    <w:link w:val="CitazioneintensaCarattere"/>
    <w:uiPriority w:val="30"/>
    <w:qFormat/>
    <w:rsid w:val="00C969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969C1"/>
    <w:rPr>
      <w:i/>
      <w:iCs/>
      <w:color w:val="2F5496" w:themeColor="accent1" w:themeShade="BF"/>
    </w:rPr>
  </w:style>
  <w:style w:type="character" w:styleId="Riferimentointenso">
    <w:name w:val="Intense Reference"/>
    <w:basedOn w:val="Carpredefinitoparagrafo"/>
    <w:uiPriority w:val="32"/>
    <w:qFormat/>
    <w:rsid w:val="00C969C1"/>
    <w:rPr>
      <w:b/>
      <w:bCs/>
      <w:smallCaps/>
      <w:color w:val="2F5496" w:themeColor="accent1" w:themeShade="BF"/>
      <w:spacing w:val="5"/>
    </w:rPr>
  </w:style>
  <w:style w:type="character" w:styleId="Collegamentoipertestuale">
    <w:name w:val="Hyperlink"/>
    <w:basedOn w:val="Carpredefinitoparagrafo"/>
    <w:uiPriority w:val="99"/>
    <w:unhideWhenUsed/>
    <w:rsid w:val="00C969C1"/>
    <w:rPr>
      <w:color w:val="0563C1" w:themeColor="hyperlink"/>
      <w:u w:val="single"/>
    </w:rPr>
  </w:style>
  <w:style w:type="character" w:styleId="Menzionenonrisolta">
    <w:name w:val="Unresolved Mention"/>
    <w:basedOn w:val="Carpredefinitoparagrafo"/>
    <w:uiPriority w:val="99"/>
    <w:semiHidden/>
    <w:unhideWhenUsed/>
    <w:rsid w:val="00C969C1"/>
    <w:rPr>
      <w:color w:val="605E5C"/>
      <w:shd w:val="clear" w:color="auto" w:fill="E1DFDD"/>
    </w:rPr>
  </w:style>
  <w:style w:type="paragraph" w:styleId="Intestazione">
    <w:name w:val="header"/>
    <w:basedOn w:val="Normale"/>
    <w:link w:val="IntestazioneCarattere"/>
    <w:uiPriority w:val="99"/>
    <w:unhideWhenUsed/>
    <w:rsid w:val="00C969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969C1"/>
  </w:style>
  <w:style w:type="paragraph" w:styleId="Pidipagina">
    <w:name w:val="footer"/>
    <w:basedOn w:val="Normale"/>
    <w:link w:val="PidipaginaCarattere"/>
    <w:uiPriority w:val="99"/>
    <w:unhideWhenUsed/>
    <w:rsid w:val="00C969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96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xway\application\nif\isapi\hc.dll?verbo=attach&amp;db=cedu&amp;host=&amp;_sid=%7b3515281A%7d&amp;port=-1&amp;_hca=&amp;_hcf=&amp;id=./i/s/14_02_2023/halet_c._lussemburgo.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71</Pages>
  <Words>36811</Words>
  <Characters>209826</Characters>
  <Application>Microsoft Office Word</Application>
  <DocSecurity>0</DocSecurity>
  <Lines>1748</Lines>
  <Paragraphs>492</Paragraphs>
  <ScaleCrop>false</ScaleCrop>
  <Company>Ministero della Giustizia</Company>
  <LinksUpToDate>false</LinksUpToDate>
  <CharactersWithSpaces>246145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Tria</dc:creator>
  <cp:keywords/>
  <dc:description/>
  <cp:lastModifiedBy>Lucia Tria</cp:lastModifiedBy>
  <cp:revision>1</cp:revision>
  <dcterms:created xsi:type="dcterms:W3CDTF">2025-11-07T08:49:00Z</dcterms:created>
  <dcterms:modified xsi:type="dcterms:W3CDTF">2025-11-07T08:55:00Z</dcterms:modified>
</cp:coreProperties>
</file>