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2"/>
        <w:gridCol w:w="2401"/>
        <w:gridCol w:w="2400"/>
        <w:gridCol w:w="2415"/>
      </w:tblGrid>
      <w:tr w:rsidR="00E7048C" w:rsidRPr="00E7048C" w14:paraId="0A7F7187" w14:textId="77777777">
        <w:trPr>
          <w:tblCellSpacing w:w="15" w:type="dxa"/>
        </w:trPr>
        <w:tc>
          <w:tcPr>
            <w:tcW w:w="0" w:type="auto"/>
            <w:gridSpan w:val="4"/>
            <w:noWrap/>
            <w:vAlign w:val="center"/>
            <w:hideMark/>
          </w:tcPr>
          <w:p w14:paraId="007A4D05" w14:textId="77777777" w:rsidR="00E7048C" w:rsidRPr="00E7048C" w:rsidRDefault="00E7048C" w:rsidP="00E7048C">
            <w:pPr>
              <w:jc w:val="center"/>
            </w:pPr>
            <w:r w:rsidRPr="00E7048C">
              <w:rPr>
                <w:b/>
                <w:bCs/>
              </w:rPr>
              <w:t>Corte Suprema di Cassazione</w:t>
            </w:r>
          </w:p>
          <w:p w14:paraId="6EE97BF3" w14:textId="77777777" w:rsidR="00E7048C" w:rsidRPr="00E7048C" w:rsidRDefault="00E7048C" w:rsidP="00E7048C">
            <w:pPr>
              <w:jc w:val="center"/>
            </w:pPr>
            <w:r w:rsidRPr="00E7048C">
              <w:rPr>
                <w:b/>
                <w:bCs/>
              </w:rPr>
              <w:t>Centro Elettronico di Documentazione</w:t>
            </w:r>
          </w:p>
          <w:p w14:paraId="0E450FE5" w14:textId="77777777" w:rsidR="00E7048C" w:rsidRPr="00E7048C" w:rsidRDefault="00E7048C" w:rsidP="00E7048C">
            <w:pPr>
              <w:jc w:val="center"/>
            </w:pPr>
            <w:proofErr w:type="spellStart"/>
            <w:r w:rsidRPr="00E7048C">
              <w:rPr>
                <w:b/>
                <w:bCs/>
              </w:rPr>
              <w:t>ItalGiureWeb</w:t>
            </w:r>
            <w:proofErr w:type="spellEnd"/>
            <w:r w:rsidRPr="00E7048C">
              <w:rPr>
                <w:b/>
                <w:bCs/>
              </w:rPr>
              <w:t> - 03/11/25 10:56:23</w:t>
            </w:r>
          </w:p>
        </w:tc>
      </w:tr>
      <w:tr w:rsidR="00E7048C" w:rsidRPr="00E7048C" w14:paraId="39218CF2" w14:textId="77777777">
        <w:trPr>
          <w:tblCellSpacing w:w="15" w:type="dxa"/>
        </w:trPr>
        <w:tc>
          <w:tcPr>
            <w:tcW w:w="0" w:type="auto"/>
            <w:gridSpan w:val="4"/>
            <w:noWrap/>
            <w:vAlign w:val="center"/>
          </w:tcPr>
          <w:p w14:paraId="397E30C3" w14:textId="77777777" w:rsidR="00E7048C" w:rsidRPr="00E7048C" w:rsidRDefault="00E7048C" w:rsidP="00E7048C">
            <w:pPr>
              <w:jc w:val="center"/>
              <w:rPr>
                <w:b/>
                <w:bCs/>
              </w:rPr>
            </w:pPr>
          </w:p>
        </w:tc>
      </w:tr>
      <w:tr w:rsidR="00E7048C" w:rsidRPr="00E7048C" w14:paraId="41BDA3BA" w14:textId="77777777" w:rsidTr="00E7048C">
        <w:trPr>
          <w:tblCellSpacing w:w="15" w:type="dxa"/>
        </w:trPr>
        <w:tc>
          <w:tcPr>
            <w:tcW w:w="0" w:type="auto"/>
            <w:vAlign w:val="center"/>
            <w:hideMark/>
          </w:tcPr>
          <w:p w14:paraId="5632F766" w14:textId="77777777" w:rsidR="00E7048C" w:rsidRPr="00E7048C" w:rsidRDefault="00E7048C" w:rsidP="00E7048C">
            <w:pPr>
              <w:jc w:val="both"/>
            </w:pPr>
          </w:p>
        </w:tc>
        <w:tc>
          <w:tcPr>
            <w:tcW w:w="0" w:type="auto"/>
            <w:vAlign w:val="center"/>
          </w:tcPr>
          <w:p w14:paraId="7C49D619" w14:textId="77777777" w:rsidR="00E7048C" w:rsidRPr="00E7048C" w:rsidRDefault="00E7048C" w:rsidP="00E7048C">
            <w:pPr>
              <w:jc w:val="both"/>
            </w:pPr>
          </w:p>
        </w:tc>
        <w:tc>
          <w:tcPr>
            <w:tcW w:w="0" w:type="auto"/>
            <w:vAlign w:val="bottom"/>
          </w:tcPr>
          <w:p w14:paraId="37A77950" w14:textId="7CB67E1D" w:rsidR="00E7048C" w:rsidRPr="00E7048C" w:rsidRDefault="00E7048C" w:rsidP="00E7048C">
            <w:pPr>
              <w:jc w:val="both"/>
            </w:pPr>
          </w:p>
        </w:tc>
        <w:tc>
          <w:tcPr>
            <w:tcW w:w="0" w:type="auto"/>
            <w:vAlign w:val="center"/>
            <w:hideMark/>
          </w:tcPr>
          <w:p w14:paraId="2EE5D232" w14:textId="77777777" w:rsidR="00E7048C" w:rsidRPr="00E7048C" w:rsidRDefault="00E7048C" w:rsidP="00E7048C">
            <w:pPr>
              <w:jc w:val="both"/>
            </w:pPr>
          </w:p>
        </w:tc>
      </w:tr>
      <w:tr w:rsidR="00E7048C" w:rsidRPr="00E7048C" w14:paraId="40660025" w14:textId="77777777">
        <w:trPr>
          <w:tblCellSpacing w:w="15" w:type="dxa"/>
        </w:trPr>
        <w:tc>
          <w:tcPr>
            <w:tcW w:w="0" w:type="auto"/>
            <w:gridSpan w:val="4"/>
            <w:vAlign w:val="center"/>
            <w:hideMark/>
          </w:tcPr>
          <w:p w14:paraId="233EEF10" w14:textId="77777777" w:rsidR="00E7048C" w:rsidRPr="00E7048C" w:rsidRDefault="00E7048C" w:rsidP="00E7048C">
            <w:pPr>
              <w:jc w:val="both"/>
            </w:pPr>
            <w:r w:rsidRPr="00E7048C">
              <w:pict w14:anchorId="22AE2522">
                <v:rect id="_x0000_i1037" style="width:0;height:1.5pt" o:hralign="center" o:hrstd="t" o:hr="t" fillcolor="#a0a0a0" stroked="f"/>
              </w:pict>
            </w:r>
          </w:p>
        </w:tc>
      </w:tr>
      <w:tr w:rsidR="00E7048C" w:rsidRPr="00E7048C" w14:paraId="133DE6C0" w14:textId="77777777" w:rsidTr="00E7048C">
        <w:tblPrEx>
          <w:tblCellSpacing w:w="0" w:type="dxa"/>
          <w:tblCellMar>
            <w:top w:w="0" w:type="dxa"/>
            <w:left w:w="0" w:type="dxa"/>
            <w:bottom w:w="0" w:type="dxa"/>
            <w:right w:w="0" w:type="dxa"/>
          </w:tblCellMar>
        </w:tblPrEx>
        <w:trPr>
          <w:tblCellSpacing w:w="0" w:type="dxa"/>
        </w:trPr>
        <w:tc>
          <w:tcPr>
            <w:tcW w:w="4969" w:type="pct"/>
            <w:gridSpan w:val="4"/>
            <w:hideMark/>
          </w:tcPr>
          <w:p w14:paraId="09675201" w14:textId="77777777" w:rsidR="00E7048C" w:rsidRPr="00E7048C" w:rsidRDefault="00E7048C" w:rsidP="00E7048C">
            <w:pPr>
              <w:jc w:val="both"/>
            </w:pPr>
            <w:r w:rsidRPr="00E7048C">
              <w:rPr>
                <w:i/>
                <w:iCs/>
              </w:rPr>
              <w:t>Provvedimento del</w:t>
            </w:r>
            <w:r w:rsidRPr="00E7048C">
              <w:t> </w:t>
            </w:r>
            <w:r w:rsidRPr="00E7048C">
              <w:rPr>
                <w:b/>
                <w:bCs/>
              </w:rPr>
              <w:t>13/11/2012</w:t>
            </w:r>
            <w:r w:rsidRPr="00E7048C">
              <w:t> </w:t>
            </w:r>
            <w:r w:rsidRPr="00E7048C">
              <w:rPr>
                <w:i/>
                <w:iCs/>
              </w:rPr>
              <w:t>Quarta Sezione </w:t>
            </w:r>
          </w:p>
          <w:p w14:paraId="5BC1AEC7" w14:textId="77777777" w:rsidR="00E7048C" w:rsidRPr="00E7048C" w:rsidRDefault="00E7048C" w:rsidP="00E7048C">
            <w:pPr>
              <w:jc w:val="both"/>
            </w:pPr>
            <w:r w:rsidRPr="00E7048C">
              <w:rPr>
                <w:i/>
                <w:iCs/>
              </w:rPr>
              <w:t>Numero del Ricorso:</w:t>
            </w:r>
            <w:r w:rsidRPr="00E7048C">
              <w:t> 4239/08</w:t>
            </w:r>
          </w:p>
          <w:p w14:paraId="415E6B20" w14:textId="5E407541" w:rsidR="00E7048C" w:rsidRDefault="00E7048C" w:rsidP="00E7048C">
            <w:pPr>
              <w:jc w:val="both"/>
              <w:rPr>
                <w:b/>
                <w:bCs/>
              </w:rPr>
            </w:pPr>
            <w:r w:rsidRPr="00E7048C">
              <w:rPr>
                <w:i/>
                <w:iCs/>
              </w:rPr>
              <w:t>Presidente: </w:t>
            </w:r>
            <w:r w:rsidRPr="00E7048C">
              <w:rPr>
                <w:b/>
                <w:bCs/>
              </w:rPr>
              <w:t>Lech</w:t>
            </w:r>
            <w:r>
              <w:rPr>
                <w:b/>
                <w:bCs/>
              </w:rPr>
              <w:t xml:space="preserve"> </w:t>
            </w:r>
            <w:proofErr w:type="spellStart"/>
            <w:r w:rsidRPr="00E7048C">
              <w:rPr>
                <w:b/>
                <w:bCs/>
              </w:rPr>
              <w:t>Garlicki</w:t>
            </w:r>
            <w:proofErr w:type="spellEnd"/>
          </w:p>
          <w:p w14:paraId="305AEDE6" w14:textId="69DF1527" w:rsidR="00E7048C" w:rsidRPr="00E7048C" w:rsidRDefault="00E7048C" w:rsidP="00E7048C">
            <w:pPr>
              <w:jc w:val="both"/>
            </w:pPr>
            <w:r>
              <w:rPr>
                <w:i/>
                <w:iCs/>
              </w:rPr>
              <w:t>C</w:t>
            </w:r>
            <w:r w:rsidRPr="00E7048C">
              <w:rPr>
                <w:i/>
                <w:iCs/>
              </w:rPr>
              <w:t>aso: </w:t>
            </w:r>
            <w:r w:rsidRPr="00E7048C">
              <w:t>C.N. </w:t>
            </w:r>
            <w:r w:rsidRPr="00E7048C">
              <w:rPr>
                <w:i/>
                <w:iCs/>
              </w:rPr>
              <w:t>contro</w:t>
            </w:r>
            <w:r w:rsidRPr="00E7048C">
              <w:t> </w:t>
            </w:r>
            <w:r w:rsidRPr="00E7048C">
              <w:rPr>
                <w:b/>
                <w:bCs/>
              </w:rPr>
              <w:t>REGNO UNITO.</w:t>
            </w:r>
            <w:r w:rsidRPr="00E7048C">
              <w:t> </w:t>
            </w:r>
          </w:p>
          <w:p w14:paraId="2B654FB9" w14:textId="77777777" w:rsidR="00E7048C" w:rsidRPr="00E7048C" w:rsidRDefault="00E7048C" w:rsidP="00E7048C">
            <w:pPr>
              <w:jc w:val="both"/>
            </w:pPr>
            <w:r w:rsidRPr="00E7048C">
              <w:t>Caso di Rilievo</w:t>
            </w:r>
          </w:p>
          <w:p w14:paraId="68B02467" w14:textId="77777777" w:rsidR="00E7048C" w:rsidRPr="00E7048C" w:rsidRDefault="00E7048C" w:rsidP="00E7048C">
            <w:pPr>
              <w:jc w:val="both"/>
            </w:pPr>
            <w:r w:rsidRPr="00E7048C">
              <w:rPr>
                <w:b/>
                <w:bCs/>
              </w:rPr>
              <w:t>Abstract</w:t>
            </w:r>
          </w:p>
          <w:p w14:paraId="48716619" w14:textId="77777777" w:rsidR="00E7048C" w:rsidRPr="00E7048C" w:rsidRDefault="00E7048C" w:rsidP="00E7048C">
            <w:pPr>
              <w:jc w:val="both"/>
            </w:pPr>
            <w:r w:rsidRPr="00E7048C">
              <w:t>Riferimento al file originario - </w:t>
            </w:r>
            <w:hyperlink r:id="rId6" w:tgtFrame="_new" w:history="1">
              <w:r w:rsidRPr="00E7048C">
                <w:rPr>
                  <w:rStyle w:val="Collegamentoipertestuale"/>
                </w:rPr>
                <w:t>C.N. c. Regno Unito.docx</w:t>
              </w:r>
            </w:hyperlink>
            <w:r w:rsidRPr="00E7048C">
              <w:t> - </w:t>
            </w:r>
            <w:hyperlink r:id="rId7" w:tgtFrame="_new" w:history="1">
              <w:r w:rsidRPr="00E7048C">
                <w:rPr>
                  <w:rStyle w:val="Collegamentoipertestuale"/>
                </w:rPr>
                <w:t>C.N. c. Regno Unito.doc</w:t>
              </w:r>
            </w:hyperlink>
          </w:p>
          <w:p w14:paraId="4166AF63" w14:textId="321D2405" w:rsidR="00E7048C" w:rsidRPr="00E7048C" w:rsidRDefault="00E7048C" w:rsidP="00E7048C">
            <w:r w:rsidRPr="00E7048C">
              <w:t>Inchiesta inefficace nell’ambito di denunce di </w:t>
            </w:r>
            <w:bookmarkStart w:id="0" w:name="hitd0p24"/>
            <w:r w:rsidRPr="00E7048C">
              <w:t>servitù</w:t>
            </w:r>
            <w:bookmarkEnd w:id="0"/>
            <w:r w:rsidRPr="00E7048C">
              <w:t> </w:t>
            </w:r>
            <w:bookmarkStart w:id="1" w:name="hitd0p28"/>
            <w:r w:rsidRPr="00E7048C">
              <w:t>domestica</w:t>
            </w:r>
            <w:bookmarkEnd w:id="1"/>
            <w:r w:rsidRPr="00E7048C">
              <w:t> a causa dell’assenza di normativa specifica che sanzioni un simile trattamento: violazione</w:t>
            </w:r>
            <w:r w:rsidRPr="00E7048C">
              <w:br/>
              <w:t>In fatto –</w:t>
            </w:r>
            <w:r w:rsidRPr="00E7048C">
              <w:br/>
              <w:t xml:space="preserve">La ricorrente, una cittadina ugandese, ha lasciato l’Uganda nel settembre del 2002 per recarsi nel Regno Unito, con l’aiuto di un suo cugino. All’inizio del 2003, ha incominciato a lavorare come badante fissa per una anziana coppia di iracheni. Ella sostiene che il lavoro </w:t>
            </w:r>
            <w:proofErr w:type="gramStart"/>
            <w:r w:rsidRPr="00E7048C">
              <w:t>comprendesse</w:t>
            </w:r>
            <w:proofErr w:type="gramEnd"/>
            <w:r w:rsidRPr="00E7048C">
              <w:t xml:space="preserve"> un impegno continuativo, ovvero 24 ore su 24, e che il suo stipendio veniva consegnato all’agente che le aveva procurato l’impiego presso la famiglia, il quale poi consegnava una percentuale del denaro al cugino della ricorrente, sulla base di un apparente accordo che comprendeva tale versamento. Ella non percepiva, tuttavia, alcuna remunerazione significativa per il suo lavoro. Durante tale periodo le è stato sottratto anche il passaporto. Nel mese di agosto 2006, ha avuto un collasso mentre si trovava in banca e ha trascorso un mese in ospedale. </w:t>
            </w:r>
            <w:proofErr w:type="gramStart"/>
            <w:r w:rsidRPr="00E7048C">
              <w:t>In seguito</w:t>
            </w:r>
            <w:proofErr w:type="gramEnd"/>
            <w:r w:rsidRPr="00E7048C">
              <w:t xml:space="preserve"> ha presentato richiesta di asilo, che è stata tuttavia respinta. Quando nel mese di aprile 2007 il suo avvocato ha presentato un’istanza scritta alla polizia, la Metropolitan Police Human </w:t>
            </w:r>
            <w:proofErr w:type="spellStart"/>
            <w:r w:rsidRPr="00E7048C">
              <w:t>Trafficking</w:t>
            </w:r>
            <w:proofErr w:type="spellEnd"/>
            <w:r w:rsidRPr="00E7048C">
              <w:t xml:space="preserve"> Team [Unità preposta al controllo del Traffico di Esseri Umani della Polizia Metropolitana] ha avviato delle indagini che, nel mese di agosto 2009, hanno tuttavia evidenziato che le circostanze del caso non sembravano costitutive del reato di traffico di esseri umani ai fini dello sfruttamento, previsto e punito dalla Legge sull’Asilo e sull’Immigrazione del 2004. Il 6 aprile 2010, è entrata in vigore una nuova legge penale, non avente effetto retroattivo, che prevedeva come nuove fattispecie di reato la schiavitù, la servitù e il lavoro forzato o coatto (Articolo 71 della Coroners and Justice Act 2009).</w:t>
            </w:r>
            <w:r w:rsidRPr="00E7048C">
              <w:br/>
              <w:t>In diritto –</w:t>
            </w:r>
            <w:r w:rsidRPr="00E7048C">
              <w:br/>
            </w:r>
            <w:r w:rsidRPr="00E7048C">
              <w:lastRenderedPageBreak/>
              <w:t xml:space="preserve">Articolo 4: Le circostanze del caso della ricorrente erano straordinariamente simili ai fatti della causa </w:t>
            </w:r>
            <w:proofErr w:type="spellStart"/>
            <w:r w:rsidRPr="00E7048C">
              <w:t>Siliadin</w:t>
            </w:r>
            <w:proofErr w:type="spellEnd"/>
            <w:r w:rsidRPr="00E7048C">
              <w:t xml:space="preserve"> c. Francia (</w:t>
            </w:r>
            <w:proofErr w:type="spellStart"/>
            <w:r w:rsidRPr="00E7048C">
              <w:t>Siliadin</w:t>
            </w:r>
            <w:proofErr w:type="spellEnd"/>
            <w:r w:rsidRPr="00E7048C">
              <w:t xml:space="preserve"> c. Francia, n. 73316/01, 26 luglio 2005, Bollettino d’informazione n. 77), in cui la Corte aveva confermato che l’articolo 4 implicava un obbligo positivo specifico per gli Stati membri di riconoscere quale reato, ed effettivamente perseguire penalmente, qualsiasi atto finalizzato a mantenere una persona in una situazione di schiavitù, servitù o lavoro forzato o coatto. Le sue doglianze avevano pertanto fatto emergere il plausibile sospetto che le sue condizioni fossero pari alla </w:t>
            </w:r>
            <w:bookmarkStart w:id="2" w:name="hitd0p32"/>
            <w:r w:rsidRPr="00E7048C">
              <w:t>servitù</w:t>
            </w:r>
            <w:bookmarkEnd w:id="2"/>
            <w:r w:rsidRPr="00E7048C">
              <w:t> </w:t>
            </w:r>
            <w:bookmarkStart w:id="3" w:name="hitd0p36"/>
            <w:r w:rsidRPr="00E7048C">
              <w:t>domestica</w:t>
            </w:r>
            <w:bookmarkEnd w:id="3"/>
            <w:r w:rsidRPr="00E7048C">
              <w:t xml:space="preserve">, che a sua volta comportava l’obbligo per le autorità interne di svolgere indagini in merito a tali denunce (Vedi </w:t>
            </w:r>
            <w:proofErr w:type="spellStart"/>
            <w:r w:rsidRPr="00E7048C">
              <w:t>Rantsev</w:t>
            </w:r>
            <w:proofErr w:type="spellEnd"/>
            <w:r w:rsidRPr="00E7048C">
              <w:t xml:space="preserve"> c. Cipro e Russia, n. 25965/04, 7 gennaio 2010, Bollettino d’informazione n. 121). Sebbene fosse chiaro che le autorità interne avevano svolto delle indagini in relazione alle denunce della ricorrente, le disposizioni legislative in vigore erano all’epoca inadeguate a disporre una protezione pratica ed efficace contro il trattamento rientrante nell’ambito dell’articolo 4. Anziché mettere le autorità nella posizione di poter indagare e reprimere un tale trattamento, queste si dovevano limitare ad indagare e reprimere reati che spesso, ma non necessariamente, si affiancavano ai reati di schiavitù, servitù e lavoro forzato o coatto. Le vittime di tale trattamento, che non fossero anche vittime di uno di tali reati correlati, venivano pertanto lasciate senza alcun mezzo di ricorso.</w:t>
            </w:r>
            <w:r w:rsidRPr="00E7048C">
              <w:br/>
              <w:t>Sebbene il Governo avesse sostenuto che la ragione per cui non era stato avviato alcun procedimento non era l’assenza di una legislazione appropriata ma piuttosto la mancanza di elementi di prova a sostegno delle accuse della ricorrente, la Corte ha ritenuto che mentre gli inquirenti avevano occasionalmente fatto riferimento alla schiavitù, al lavoro forzato e alla </w:t>
            </w:r>
            <w:bookmarkStart w:id="4" w:name="hitd0p40"/>
            <w:r w:rsidRPr="00E7048C">
              <w:t>servitù</w:t>
            </w:r>
            <w:bookmarkEnd w:id="4"/>
            <w:r w:rsidRPr="00E7048C">
              <w:t> </w:t>
            </w:r>
            <w:bookmarkStart w:id="5" w:name="hitd0p44"/>
            <w:r w:rsidRPr="00E7048C">
              <w:t>domestica</w:t>
            </w:r>
            <w:bookmarkEnd w:id="5"/>
            <w:r w:rsidRPr="00E7048C">
              <w:t>, era chiaro che la loro attenzione era in ogni momento incentrata sul reato di traffico ai fini dello sfruttamento, previsto dalla precedente normativa. La </w:t>
            </w:r>
            <w:bookmarkStart w:id="6" w:name="hitd0p48"/>
            <w:r w:rsidRPr="00E7048C">
              <w:t>servitù</w:t>
            </w:r>
            <w:bookmarkEnd w:id="6"/>
            <w:r w:rsidRPr="00E7048C">
              <w:t> </w:t>
            </w:r>
            <w:bookmarkStart w:id="7" w:name="hitd0p52"/>
            <w:r w:rsidRPr="00E7048C">
              <w:t>domestica</w:t>
            </w:r>
            <w:bookmarkEnd w:id="7"/>
            <w:r w:rsidRPr="00E7048C">
              <w:t> era, tuttavia, un reato specifico, distinto dal traffico ai fini dello sfruttamento, con il proprio bagaglio di dinamiche complesse, riconducibile a forme palesi o subdole di coercizione, volto a costringere alla sottomissione. Una indagine approfondita delle denunce relative a tale condotta richiedeva pertanto la comprensione dei molti modi subdoli in cui un individuo potesse cadere sotto il controllo di un altro individuo. Nel caso di specie, data l’assenza del reato specifico di </w:t>
            </w:r>
            <w:bookmarkStart w:id="8" w:name="hitd0p56"/>
            <w:r w:rsidRPr="00E7048C">
              <w:t>servitù</w:t>
            </w:r>
            <w:bookmarkEnd w:id="8"/>
            <w:r w:rsidRPr="00E7048C">
              <w:t> </w:t>
            </w:r>
            <w:bookmarkStart w:id="9" w:name="hitd0p60"/>
            <w:r w:rsidRPr="00E7048C">
              <w:t>domestica</w:t>
            </w:r>
            <w:bookmarkEnd w:id="9"/>
            <w:r w:rsidRPr="00E7048C">
              <w:t>, le autorità interne non sono state in grado di dare il giusto peso a tali fattori. In particolare, non sembra sia stato alcun tentativo per interrogare il cugino della ricorrente nonostante la gravità del reato presumibilmente commesso. La lacuna nel diritto interno dell’epoca potrebbe spiegare tale omissione, insieme al fatto che nessun peso apparente sia stato attribuito alle denunce della ricorrente riguardo al fatto che le era stato sottratto il suo passaporto, che il cugino non aveva conservato i suoi stipendi per suo conto come concordato, e che era stata esplicitamente ed implicitamente minacciata di denuncia alle autorità dell’immigrazione, anche se tali fattori erano tra quelli identificati dall’Organizzazione Internazionale del Lavoro quali indicatori di lavoro forzato. Di conseguenza, le indagini sulle denunce della ricorrente relativamente alla </w:t>
            </w:r>
            <w:bookmarkStart w:id="10" w:name="hitd0p64"/>
            <w:r w:rsidRPr="00E7048C">
              <w:t>servitù</w:t>
            </w:r>
            <w:bookmarkEnd w:id="10"/>
            <w:r w:rsidRPr="00E7048C">
              <w:t> </w:t>
            </w:r>
            <w:bookmarkStart w:id="11" w:name="hitd0p68"/>
            <w:r w:rsidRPr="00E7048C">
              <w:t>domestica</w:t>
            </w:r>
            <w:bookmarkEnd w:id="11"/>
            <w:r w:rsidRPr="00E7048C">
              <w:t> sono state inefficaci a causa dell’assenza di una normativa specifica che penalizzasse tale trattamento.</w:t>
            </w:r>
            <w:r w:rsidRPr="00E7048C">
              <w:br/>
              <w:t>Conclusione:</w:t>
            </w:r>
            <w:r w:rsidRPr="00E7048C">
              <w:br/>
              <w:t>violazione (unanimità).</w:t>
            </w:r>
            <w:r w:rsidRPr="00E7048C">
              <w:br/>
              <w:t>Articolo 41: 8.000 EUR per danni morali.</w:t>
            </w:r>
          </w:p>
          <w:p w14:paraId="4BD295D1" w14:textId="77777777" w:rsidR="00E7048C" w:rsidRPr="00E7048C" w:rsidRDefault="00E7048C" w:rsidP="00E7048C">
            <w:r w:rsidRPr="00E7048C">
              <w:lastRenderedPageBreak/>
              <w:t>Articolo 4, CEDU, divieto di schiavitù e lavoro forzato. La mancanza di una specifica disciplina punitiva della </w:t>
            </w:r>
            <w:bookmarkStart w:id="12" w:name="hitd0p74"/>
            <w:r w:rsidRPr="00E7048C">
              <w:t>servitù</w:t>
            </w:r>
            <w:bookmarkEnd w:id="12"/>
            <w:r w:rsidRPr="00E7048C">
              <w:t> </w:t>
            </w:r>
            <w:bookmarkStart w:id="13" w:name="hitd0p78"/>
            <w:r w:rsidRPr="00E7048C">
              <w:t>domestica</w:t>
            </w:r>
            <w:bookmarkEnd w:id="13"/>
            <w:r w:rsidRPr="00E7048C">
              <w:t> ha impedito indagini effettive sulle dichiarazioni della vittima</w:t>
            </w:r>
            <w:r w:rsidRPr="00E7048C">
              <w:br/>
              <w:t>Decisione non definitiva.</w:t>
            </w:r>
            <w:r w:rsidRPr="00E7048C">
              <w:br/>
              <w:t>FATTO</w:t>
            </w:r>
            <w:r w:rsidRPr="00E7048C">
              <w:br/>
              <w:t>La ricorrente C.N. è una cittadina ugandese, nata nel 1979. Ha lasciato l’Uganda per trasferirsi nel Regno Unito nel settembre 2002, con l’aiuto del cugino S., che le ha consentito di entrare nello Stato con un passaporto falso e un visto. Secondo la ricorrente, la sua intenzione era quella di fuggire dalle violenze sessuali e fisiche che aveva subito in Uganda.</w:t>
            </w:r>
            <w:r w:rsidRPr="00E7048C">
              <w:br/>
              <w:t>All’inizio del 2003 C.N. ha iniziato a lavorare come badante per un’anziana coppia irachena (“</w:t>
            </w:r>
            <w:proofErr w:type="spellStart"/>
            <w:r w:rsidRPr="00E7048C">
              <w:t>Mr</w:t>
            </w:r>
            <w:proofErr w:type="spellEnd"/>
            <w:r w:rsidRPr="00E7048C">
              <w:t xml:space="preserve"> e </w:t>
            </w:r>
            <w:proofErr w:type="spellStart"/>
            <w:r w:rsidRPr="00E7048C">
              <w:t>Mrs</w:t>
            </w:r>
            <w:proofErr w:type="spellEnd"/>
            <w:r w:rsidRPr="00E7048C">
              <w:t xml:space="preserve"> K”). Ha dichiarato che era permanentemente di servizio, giorno e notte, dato che </w:t>
            </w:r>
            <w:proofErr w:type="spellStart"/>
            <w:r w:rsidRPr="00E7048C">
              <w:t>Mr</w:t>
            </w:r>
            <w:proofErr w:type="spellEnd"/>
            <w:r w:rsidRPr="00E7048C">
              <w:t xml:space="preserve"> K. era affetto dalla malattia di Parkinson. Secondo C.N. la sua retribuzione era mandata all’agente che le aveva procurato il lavoro con la famiglia K.; lui poi trasferiva una percentuale di quel denaro a S. sull’apparente giustificazione che sarebbe stato versato a lei. In ogni caso, lei ha negato di aver ricevuto pagamenti significativi per il suo lavoro. Per tutto quel periodo il suo passaporto è stato altresì trattenuto dal cugino S.</w:t>
            </w:r>
            <w:r w:rsidRPr="00E7048C">
              <w:br/>
              <w:t>Nell’agosto 2006 è svenuta nei locali di una banca e in seguito ha trascorso un mese in ospedale, dove è stata sottoposta al test dell’HIV, in cui è risultata positiva, e le è stata diagnosticata un disagio di tipo psicotico. In seguito al suo congedo dall’ospedale, C.N. ha ricevuto un alloggio dall’autorità locale e ha fatto domanda di asilo, che è stata respinta.</w:t>
            </w:r>
            <w:r w:rsidRPr="00E7048C">
              <w:br/>
              <w:t xml:space="preserve">Dopo che l’avvocato della ricorrente ha scritto alla polizia nell’aprile 2007, la Squadra della Polizia Metropolitana impegnata nel settore della tratta di esseri umani ha avviato un’indagine e ha interrogato C.N. Hanno poi concluso che non c’era una prova concreta di tratta di essere umani nel suo caso. Il Capo del Servizio legale al centro di tratta degli esseri umani del Regno Unito ha ulteriormente avvisato </w:t>
            </w:r>
            <w:proofErr w:type="gramStart"/>
            <w:r w:rsidRPr="00E7048C">
              <w:t>che</w:t>
            </w:r>
            <w:proofErr w:type="gramEnd"/>
            <w:r w:rsidRPr="00E7048C">
              <w:t xml:space="preserve"> mentre la ricorrente lavorava presso la famiglia K si era presa cura adeguatamente della famiglia e aveva ricevuto del denaro. C’era, in ogni caso, una controversia sul denaro e sul fatto che “suo cugino tratteneva più di quanto avrebbe dovuto”.</w:t>
            </w:r>
            <w:r w:rsidRPr="00E7048C">
              <w:br/>
              <w:t>Dopo che l’avvocato di C.N. ha chiesto alla polizia di prendere in considerazione le accuse per altri reati, inclusi schiavitù e lavoro forzato, la polizia ha iniziato a condurre ulteriori indagini nel gennaio 2009. Nella lettera all’avvocato di C.N. nell'agosto 2009, la polizia ha scritto di aver deciso di concludere le indagini, a giustificazione di tale scelta ha fatto, in particolare, riferimento alle conclusioni del Centro di tratta degli esseri umani per cui “le circostanze del caso di Ms. C.N non sembravano costituire un reato di tratta di persone per scopo di sfruttamento contrario alla legge sull’asilo e l'immigrazione del 2004”.</w:t>
            </w:r>
            <w:r w:rsidRPr="00E7048C">
              <w:br/>
              <w:t>Il 6 aprile 2010 la legge sulla sezione 71 dei Coroners e sulla giustizia è entrata in vigore e ha reso la schiavitù, la servitù e il lavoro forzato o obbligatorio illeciti penali punibili con una multa e/o la reclusione fino a 14 anni. La norma non aveva effetto retroattivo.</w:t>
            </w:r>
            <w:r w:rsidRPr="00E7048C">
              <w:br/>
              <w:t>In relazione all’articolo 4 (divieto di schiavitù e lavoro forzato), articolo 8 (diritto al rispetto della vita privata e familiare) e l’articolo 13 (diritto ad un rimedio effettivo), la ricorrente ha affermato che il trattamento al quale è stata sottoposta fosse equivalente ad una </w:t>
            </w:r>
            <w:bookmarkStart w:id="14" w:name="hitd0p82"/>
            <w:r w:rsidRPr="00E7048C">
              <w:t>servitù</w:t>
            </w:r>
            <w:bookmarkEnd w:id="14"/>
            <w:r w:rsidRPr="00E7048C">
              <w:t> </w:t>
            </w:r>
            <w:bookmarkStart w:id="15" w:name="hitd0p86"/>
            <w:r w:rsidRPr="00E7048C">
              <w:t>domestica</w:t>
            </w:r>
            <w:bookmarkEnd w:id="15"/>
            <w:r w:rsidRPr="00E7048C">
              <w:t> e che le autorità non avevano potuto indagare sul suo caso, considerata la mancanza al tempo di una normativa nel Regno Unito che specificamente punisse la </w:t>
            </w:r>
            <w:bookmarkStart w:id="16" w:name="hitd0p90"/>
            <w:r w:rsidRPr="00E7048C">
              <w:t>servitù</w:t>
            </w:r>
            <w:bookmarkEnd w:id="16"/>
            <w:r w:rsidRPr="00E7048C">
              <w:t> </w:t>
            </w:r>
            <w:bookmarkStart w:id="17" w:name="hitd0p94"/>
            <w:r w:rsidRPr="00E7048C">
              <w:t>domestica</w:t>
            </w:r>
            <w:bookmarkEnd w:id="17"/>
            <w:r w:rsidRPr="00E7048C">
              <w:t xml:space="preserve"> e il lavoro forzato o </w:t>
            </w:r>
            <w:r w:rsidRPr="00E7048C">
              <w:lastRenderedPageBreak/>
              <w:t>coatto.</w:t>
            </w:r>
            <w:r w:rsidRPr="00E7048C">
              <w:br/>
              <w:t>Il ricorso è stato presentato alla Corte europea dei diritti dell’uomo il 24 gennaio 2008.</w:t>
            </w:r>
            <w:r w:rsidRPr="00E7048C">
              <w:br/>
              <w:t>Il Centro AIRE e la Commissione per i diritti umani e l’uguaglianza sono stati autorizzati a presentare osservazioni scritte come parti terze.</w:t>
            </w:r>
            <w:r w:rsidRPr="00E7048C">
              <w:br/>
              <w:t>DIRITTO</w:t>
            </w:r>
            <w:r w:rsidRPr="00E7048C">
              <w:br/>
              <w:t>Articolo 4. La Corte ha osservato che le autorità hanno per la prima volta preso conoscenza delle dichiarazioni della ricorrente di </w:t>
            </w:r>
            <w:bookmarkStart w:id="18" w:name="hitd0p98"/>
            <w:r w:rsidRPr="00E7048C">
              <w:t>servitù</w:t>
            </w:r>
            <w:bookmarkEnd w:id="18"/>
            <w:r w:rsidRPr="00E7048C">
              <w:t> </w:t>
            </w:r>
            <w:bookmarkStart w:id="19" w:name="hitd0p102"/>
            <w:r w:rsidRPr="00E7048C">
              <w:t>domestica</w:t>
            </w:r>
            <w:bookmarkEnd w:id="19"/>
            <w:r w:rsidRPr="00E7048C">
              <w:t> dopo che lei è svenuta nei locali di una banca nell’agosto 2006. Nella sua conseguente domanda di asilo, C.N. ha denunciato in particolare di essere stata costretta a lavorare per la famiglia K. senza retribuzione. Inoltre, nell’aprile 2007 il suo avvocato ha chiesto alla polizia di indagare sul suo caso e durante l’interrogatorio da parte della Squadra per la tratta degli esseri umani, C.N. ha esposto le sue denunce di </w:t>
            </w:r>
            <w:bookmarkStart w:id="20" w:name="hitd0p106"/>
            <w:r w:rsidRPr="00E7048C">
              <w:t>servitù</w:t>
            </w:r>
            <w:bookmarkEnd w:id="20"/>
            <w:r w:rsidRPr="00E7048C">
              <w:t> </w:t>
            </w:r>
            <w:bookmarkStart w:id="21" w:name="hitd0p110"/>
            <w:r w:rsidRPr="00E7048C">
              <w:t>domestica</w:t>
            </w:r>
            <w:bookmarkEnd w:id="21"/>
            <w:r w:rsidRPr="00E7048C">
              <w:t xml:space="preserve">. La Corte ha osservato che le circostanze del suo caso erano molto simili a quelli del caso </w:t>
            </w:r>
            <w:proofErr w:type="spellStart"/>
            <w:r w:rsidRPr="00E7048C">
              <w:t>Siliadin</w:t>
            </w:r>
            <w:proofErr w:type="spellEnd"/>
            <w:r w:rsidRPr="00E7048C">
              <w:t xml:space="preserve"> c. Francia, nel quale la Corte ha confermato che l’articolo 4 comportava uno specifico obbligo positivo in capo agli Stati membri di incriminare e perseguire effettivamente ogni atto diretto a mantenere una persona in uno stato di schiavitù, servitù o lavoro forzato o coatto.</w:t>
            </w:r>
            <w:r w:rsidRPr="00E7048C">
              <w:br/>
              <w:t>La Corte dunque ha considerato che le denunce della ricorrente avessero dato origine ad un fondato sospetto di </w:t>
            </w:r>
            <w:bookmarkStart w:id="22" w:name="hitd0p114"/>
            <w:r w:rsidRPr="00E7048C">
              <w:t>servitù</w:t>
            </w:r>
            <w:bookmarkEnd w:id="22"/>
            <w:r w:rsidRPr="00E7048C">
              <w:t> </w:t>
            </w:r>
            <w:bookmarkStart w:id="23" w:name="hitd0p118"/>
            <w:r w:rsidRPr="00E7048C">
              <w:t>domestica</w:t>
            </w:r>
            <w:bookmarkEnd w:id="23"/>
            <w:r w:rsidRPr="00E7048C">
              <w:t>, la quale aveva posto un obbligo per le autorità britanniche di indagare su quelle denunce. La Corte ha osservato che dalle denunce della ricorrente era dichiaratamente emerso che le sue dichiarazioni non erano intrinsecamente infondate.</w:t>
            </w:r>
            <w:r w:rsidRPr="00E7048C">
              <w:br/>
              <w:t xml:space="preserve">Alla luce degli esiti del giudizio sul caso </w:t>
            </w:r>
            <w:proofErr w:type="spellStart"/>
            <w:r w:rsidRPr="00E7048C">
              <w:t>Siliadin</w:t>
            </w:r>
            <w:proofErr w:type="spellEnd"/>
            <w:r w:rsidRPr="00E7048C">
              <w:t xml:space="preserve"> – ove si è stabilito che le norme del Codice penale francese erano troppo restrittive per proteggere i diritti della ricorrente in riferimento all’articolo 4 – la Corte poteva solo concludere che le previsioni legislative in vigore nel Regno Unito al tempo erano inadeguate ad assicurare una protezione pratica ed effettiva rispetto ai trattamenti contrari all’articolo 4. In verità, le autorità si sono limitate ad indagare e punire i reati che spesso - ma non necessariamente – accompagnavano le offese di schiavitù, servitù e lavoro forzato o coatto. Le vittime della </w:t>
            </w:r>
            <w:bookmarkStart w:id="24" w:name="hitd0p122"/>
            <w:r w:rsidRPr="00E7048C">
              <w:t>servitù</w:t>
            </w:r>
            <w:bookmarkEnd w:id="24"/>
            <w:r w:rsidRPr="00E7048C">
              <w:t> </w:t>
            </w:r>
            <w:bookmarkStart w:id="25" w:name="hitd0p126"/>
            <w:r w:rsidRPr="00E7048C">
              <w:t>domestica</w:t>
            </w:r>
            <w:bookmarkEnd w:id="25"/>
            <w:r w:rsidRPr="00E7048C">
              <w:t> che non fossero state anche vittime di uno di questi connessi reati venivano lasciate senza alcun rimedio.</w:t>
            </w:r>
            <w:r w:rsidRPr="00E7048C">
              <w:br/>
              <w:t>La Corte ha poi valutato se questa carenza di una legislazione specifica repressiva della </w:t>
            </w:r>
            <w:bookmarkStart w:id="26" w:name="hitd0p130"/>
            <w:r w:rsidRPr="00E7048C">
              <w:t>servitù</w:t>
            </w:r>
            <w:bookmarkEnd w:id="26"/>
            <w:r w:rsidRPr="00E7048C">
              <w:t> </w:t>
            </w:r>
            <w:bookmarkStart w:id="27" w:name="hitd0p134"/>
            <w:r w:rsidRPr="00E7048C">
              <w:t>domestica</w:t>
            </w:r>
            <w:bookmarkEnd w:id="27"/>
            <w:r w:rsidRPr="00E7048C">
              <w:t> avesse impedito alle autorità locali di indagare opportunamente sulle denunce della ricorrente. Ciò era stato determinato dal fatto che le indagini erano state condotte da un’unità specializzata sul traffico che si era concentrata quasi esclusivamente sull’offesa di tratta a fini di sfruttamento come enunciata della legge sull’asilo e immigrazione del 2004, quando la </w:t>
            </w:r>
            <w:bookmarkStart w:id="28" w:name="hitd0p138"/>
            <w:r w:rsidRPr="00E7048C">
              <w:t>servitù</w:t>
            </w:r>
            <w:bookmarkEnd w:id="28"/>
            <w:r w:rsidRPr="00E7048C">
              <w:t> </w:t>
            </w:r>
            <w:bookmarkStart w:id="29" w:name="hitd0p142"/>
            <w:r w:rsidRPr="00E7048C">
              <w:t>domestica</w:t>
            </w:r>
            <w:bookmarkEnd w:id="29"/>
            <w:r w:rsidRPr="00E7048C">
              <w:t> era, come indicato nell’intervento della terza parte, un’offesa specifica, distinta sia dalla tratta di essere umani sia dallo sfruttamento.</w:t>
            </w:r>
            <w:r w:rsidRPr="00E7048C">
              <w:br/>
              <w:t>Infatti, coinvolgendo la </w:t>
            </w:r>
            <w:bookmarkStart w:id="30" w:name="hitd0p146"/>
            <w:r w:rsidRPr="00E7048C">
              <w:t>servitù</w:t>
            </w:r>
            <w:bookmarkEnd w:id="30"/>
            <w:r w:rsidRPr="00E7048C">
              <w:t> </w:t>
            </w:r>
            <w:bookmarkStart w:id="31" w:name="hitd0p150"/>
            <w:r w:rsidRPr="00E7048C">
              <w:t>domestica</w:t>
            </w:r>
            <w:bookmarkEnd w:id="31"/>
            <w:r w:rsidRPr="00E7048C">
              <w:t> una complessa serie di dinamiche, giusto peso si sarebbe dovuto dare ai modi subdoli con cui un individuo poteva cadere sotto il controllo di un altro, mentre ciò non è stato possibile per le alle autorità locali nel caso di C.N., data la mancanza di uno specifico reato di </w:t>
            </w:r>
            <w:bookmarkStart w:id="32" w:name="hitd0p154"/>
            <w:r w:rsidRPr="00E7048C">
              <w:t>servitù</w:t>
            </w:r>
            <w:bookmarkEnd w:id="32"/>
            <w:r w:rsidRPr="00E7048C">
              <w:t> </w:t>
            </w:r>
            <w:bookmarkStart w:id="33" w:name="hitd0p158"/>
            <w:r w:rsidRPr="00E7048C">
              <w:t>domestica</w:t>
            </w:r>
            <w:bookmarkEnd w:id="33"/>
            <w:r w:rsidRPr="00E7048C">
              <w:t xml:space="preserve">. In particolare, nessun tentativo è stato fatto di interrogare S. e nessun peso apparente è stato attribuito alle dichiarazioni della ricorrente che il suo passaporto le fosse stato sottratto, che S. non avesse conservato per lei i salari come concordato e che lei fosse stata minacciata di denuncia alle autorità di immigrazione, sebbene questi fattori siano stati </w:t>
            </w:r>
            <w:r w:rsidRPr="00E7048C">
              <w:lastRenderedPageBreak/>
              <w:t>identificati dall’Organizzazione Internazionale per il lavoro come indizi di lavoro forzato.</w:t>
            </w:r>
            <w:r w:rsidRPr="00E7048C">
              <w:br/>
              <w:t xml:space="preserve">La Corte ha concluso che l’indagine sulle dichiarazioni di </w:t>
            </w:r>
            <w:proofErr w:type="spellStart"/>
            <w:r w:rsidRPr="00E7048C">
              <w:t>Ms</w:t>
            </w:r>
            <w:proofErr w:type="spellEnd"/>
            <w:r w:rsidRPr="00E7048C">
              <w:t xml:space="preserve"> C.N. di </w:t>
            </w:r>
            <w:bookmarkStart w:id="34" w:name="hitd0p162"/>
            <w:r w:rsidRPr="00E7048C">
              <w:t>servitù</w:t>
            </w:r>
            <w:bookmarkEnd w:id="34"/>
            <w:r w:rsidRPr="00E7048C">
              <w:t> </w:t>
            </w:r>
            <w:bookmarkStart w:id="35" w:name="hitd0p166"/>
            <w:r w:rsidRPr="00E7048C">
              <w:t>domestica</w:t>
            </w:r>
            <w:bookmarkEnd w:id="35"/>
            <w:r w:rsidRPr="00E7048C">
              <w:t> non sono state effettive a causa della mancanza nel Regno Unito di una specifica legislazione punitiva di un simile trattamento all’epoca dei fatti, in violazione dell’articolo 4 della Convenzione.</w:t>
            </w:r>
            <w:r w:rsidRPr="00E7048C">
              <w:br/>
              <w:t>Altri articoli</w:t>
            </w:r>
            <w:r w:rsidRPr="00E7048C">
              <w:br/>
              <w:t>Con riguardo alle conclusioni in riferimento all’articolo 4, la Corte ha considerato che non fosse necessario esaminare le denunce della ricorrente rispetto agli articoli 8 e 13.</w:t>
            </w:r>
            <w:r w:rsidRPr="00E7048C">
              <w:br/>
              <w:t>Art. 41: condanna al pagamento di 8000 euro per danni non patrimoniali e 20000 euro per i costi e le spese.</w:t>
            </w:r>
            <w:r w:rsidRPr="00E7048C">
              <w:br/>
              <w:t>Conclusione: violazione (unanimità)</w:t>
            </w:r>
            <w:r w:rsidRPr="00E7048C">
              <w:br/>
              <w:t>(TRADUZIONE A CURA DEL GRUPPO STAGISTI CEDU DELLA CORTE SUPREMA DI CASSAZIONE DEL BOLLETTINO EUROPEO DEI DIRITTI DELL'UOMO N. 157 DEL 2012)</w:t>
            </w:r>
          </w:p>
          <w:p w14:paraId="32CA9A11" w14:textId="77777777" w:rsidR="00E7048C" w:rsidRPr="00E7048C" w:rsidRDefault="00E7048C" w:rsidP="00E7048C">
            <w:pPr>
              <w:jc w:val="both"/>
            </w:pPr>
            <w:r w:rsidRPr="00E7048C">
              <w:rPr>
                <w:i/>
                <w:iCs/>
              </w:rPr>
              <w:t>Riferimenti normativi: </w:t>
            </w:r>
            <w:proofErr w:type="spellStart"/>
            <w:r w:rsidRPr="00E7048C">
              <w:t>Conv</w:t>
            </w:r>
            <w:proofErr w:type="spellEnd"/>
            <w:r w:rsidRPr="00E7048C">
              <w:t xml:space="preserve">. Eur. Dir. Uomo art. </w:t>
            </w:r>
            <w:proofErr w:type="gramStart"/>
            <w:r w:rsidRPr="00E7048C">
              <w:t>4,  Legge</w:t>
            </w:r>
            <w:proofErr w:type="gramEnd"/>
            <w:r w:rsidRPr="00E7048C">
              <w:t xml:space="preserve"> 04/08/1955 </w:t>
            </w:r>
            <w:proofErr w:type="spellStart"/>
            <w:r w:rsidRPr="00E7048C">
              <w:t>num</w:t>
            </w:r>
            <w:proofErr w:type="spellEnd"/>
            <w:r w:rsidRPr="00E7048C">
              <w:t>. 848 art. 4</w:t>
            </w:r>
          </w:p>
          <w:p w14:paraId="218555EB" w14:textId="77777777" w:rsidR="00E7048C" w:rsidRPr="00E7048C" w:rsidRDefault="00E7048C" w:rsidP="00E7048C">
            <w:pPr>
              <w:jc w:val="both"/>
            </w:pPr>
            <w:r w:rsidRPr="00E7048C">
              <w:pict w14:anchorId="0DD35BED">
                <v:rect id="_x0000_i1078" style="width:0;height:1.5pt" o:hralign="center" o:hrstd="t" o:hr="t" fillcolor="#a0a0a0" stroked="f"/>
              </w:pict>
            </w:r>
          </w:p>
        </w:tc>
      </w:tr>
    </w:tbl>
    <w:p w14:paraId="19CBE962" w14:textId="77777777" w:rsidR="003C3531" w:rsidRDefault="003C3531" w:rsidP="00E7048C">
      <w:pPr>
        <w:jc w:val="both"/>
      </w:pPr>
    </w:p>
    <w:p w14:paraId="6B6E14D3" w14:textId="77777777" w:rsidR="00E7048C" w:rsidRDefault="00E7048C" w:rsidP="00E7048C">
      <w:pPr>
        <w:jc w:val="both"/>
      </w:pPr>
    </w:p>
    <w:p w14:paraId="1FA51DC6" w14:textId="77777777" w:rsidR="00E7048C" w:rsidRDefault="00E7048C">
      <w:pPr>
        <w:jc w:val="both"/>
      </w:pPr>
    </w:p>
    <w:sectPr w:rsidR="00E7048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1B74" w14:textId="77777777" w:rsidR="00D34258" w:rsidRDefault="00D34258" w:rsidP="00E7048C">
      <w:pPr>
        <w:spacing w:after="0" w:line="240" w:lineRule="auto"/>
      </w:pPr>
      <w:r>
        <w:separator/>
      </w:r>
    </w:p>
  </w:endnote>
  <w:endnote w:type="continuationSeparator" w:id="0">
    <w:p w14:paraId="15D1510F" w14:textId="77777777" w:rsidR="00D34258" w:rsidRDefault="00D34258" w:rsidP="00E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98100"/>
      <w:docPartObj>
        <w:docPartGallery w:val="Page Numbers (Bottom of Page)"/>
        <w:docPartUnique/>
      </w:docPartObj>
    </w:sdtPr>
    <w:sdtContent>
      <w:p w14:paraId="4666E8F7" w14:textId="3A19AF9C" w:rsidR="00E7048C" w:rsidRDefault="00E7048C">
        <w:pPr>
          <w:pStyle w:val="Pidipagina"/>
          <w:jc w:val="center"/>
        </w:pPr>
        <w:r>
          <w:fldChar w:fldCharType="begin"/>
        </w:r>
        <w:r>
          <w:instrText>PAGE   \* MERGEFORMAT</w:instrText>
        </w:r>
        <w:r>
          <w:fldChar w:fldCharType="separate"/>
        </w:r>
        <w:r>
          <w:t>2</w:t>
        </w:r>
        <w:r>
          <w:fldChar w:fldCharType="end"/>
        </w:r>
      </w:p>
    </w:sdtContent>
  </w:sdt>
  <w:p w14:paraId="2E26C2F5" w14:textId="77777777" w:rsidR="00E7048C" w:rsidRDefault="00E704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3882" w14:textId="77777777" w:rsidR="00D34258" w:rsidRDefault="00D34258" w:rsidP="00E7048C">
      <w:pPr>
        <w:spacing w:after="0" w:line="240" w:lineRule="auto"/>
      </w:pPr>
      <w:r>
        <w:separator/>
      </w:r>
    </w:p>
  </w:footnote>
  <w:footnote w:type="continuationSeparator" w:id="0">
    <w:p w14:paraId="7BAFF19A" w14:textId="77777777" w:rsidR="00D34258" w:rsidRDefault="00D34258" w:rsidP="00E70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8C"/>
    <w:rsid w:val="003C3531"/>
    <w:rsid w:val="003E30D8"/>
    <w:rsid w:val="0078364A"/>
    <w:rsid w:val="00BB24E6"/>
    <w:rsid w:val="00D34258"/>
    <w:rsid w:val="00E70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FA41"/>
  <w15:chartTrackingRefBased/>
  <w15:docId w15:val="{5E10C198-0E1B-4F19-BBD6-336834C2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0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70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7048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7048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7048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704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04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04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04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048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7048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7048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7048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7048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704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04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04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04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0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04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04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04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04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048C"/>
    <w:rPr>
      <w:i/>
      <w:iCs/>
      <w:color w:val="404040" w:themeColor="text1" w:themeTint="BF"/>
    </w:rPr>
  </w:style>
  <w:style w:type="paragraph" w:styleId="Paragrafoelenco">
    <w:name w:val="List Paragraph"/>
    <w:basedOn w:val="Normale"/>
    <w:uiPriority w:val="34"/>
    <w:qFormat/>
    <w:rsid w:val="00E7048C"/>
    <w:pPr>
      <w:ind w:left="720"/>
      <w:contextualSpacing/>
    </w:pPr>
  </w:style>
  <w:style w:type="character" w:styleId="Enfasiintensa">
    <w:name w:val="Intense Emphasis"/>
    <w:basedOn w:val="Carpredefinitoparagrafo"/>
    <w:uiPriority w:val="21"/>
    <w:qFormat/>
    <w:rsid w:val="00E7048C"/>
    <w:rPr>
      <w:i/>
      <w:iCs/>
      <w:color w:val="2F5496" w:themeColor="accent1" w:themeShade="BF"/>
    </w:rPr>
  </w:style>
  <w:style w:type="paragraph" w:styleId="Citazioneintensa">
    <w:name w:val="Intense Quote"/>
    <w:basedOn w:val="Normale"/>
    <w:next w:val="Normale"/>
    <w:link w:val="CitazioneintensaCarattere"/>
    <w:uiPriority w:val="30"/>
    <w:qFormat/>
    <w:rsid w:val="00E70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7048C"/>
    <w:rPr>
      <w:i/>
      <w:iCs/>
      <w:color w:val="2F5496" w:themeColor="accent1" w:themeShade="BF"/>
    </w:rPr>
  </w:style>
  <w:style w:type="character" w:styleId="Riferimentointenso">
    <w:name w:val="Intense Reference"/>
    <w:basedOn w:val="Carpredefinitoparagrafo"/>
    <w:uiPriority w:val="32"/>
    <w:qFormat/>
    <w:rsid w:val="00E7048C"/>
    <w:rPr>
      <w:b/>
      <w:bCs/>
      <w:smallCaps/>
      <w:color w:val="2F5496" w:themeColor="accent1" w:themeShade="BF"/>
      <w:spacing w:val="5"/>
    </w:rPr>
  </w:style>
  <w:style w:type="character" w:styleId="Collegamentoipertestuale">
    <w:name w:val="Hyperlink"/>
    <w:basedOn w:val="Carpredefinitoparagrafo"/>
    <w:uiPriority w:val="99"/>
    <w:unhideWhenUsed/>
    <w:rsid w:val="00E7048C"/>
    <w:rPr>
      <w:color w:val="0563C1" w:themeColor="hyperlink"/>
      <w:u w:val="single"/>
    </w:rPr>
  </w:style>
  <w:style w:type="character" w:styleId="Menzionenonrisolta">
    <w:name w:val="Unresolved Mention"/>
    <w:basedOn w:val="Carpredefinitoparagrafo"/>
    <w:uiPriority w:val="99"/>
    <w:semiHidden/>
    <w:unhideWhenUsed/>
    <w:rsid w:val="00E7048C"/>
    <w:rPr>
      <w:color w:val="605E5C"/>
      <w:shd w:val="clear" w:color="auto" w:fill="E1DFDD"/>
    </w:rPr>
  </w:style>
  <w:style w:type="paragraph" w:styleId="Intestazione">
    <w:name w:val="header"/>
    <w:basedOn w:val="Normale"/>
    <w:link w:val="IntestazioneCarattere"/>
    <w:uiPriority w:val="99"/>
    <w:unhideWhenUsed/>
    <w:rsid w:val="00E704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048C"/>
  </w:style>
  <w:style w:type="paragraph" w:styleId="Pidipagina">
    <w:name w:val="footer"/>
    <w:basedOn w:val="Normale"/>
    <w:link w:val="PidipaginaCarattere"/>
    <w:uiPriority w:val="99"/>
    <w:unhideWhenUsed/>
    <w:rsid w:val="00E704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0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xway\application\nif\isapi\hc.dll?verbo=attach&amp;db=cedu&amp;host=&amp;_sid=%7b07BD70FB%7d&amp;port=-1&amp;_hca=&amp;_hcf=&amp;id=./i/a/13_11_2012/c.n._c._regno_unito.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xway\application\nif\isapi\hc.dll?verbo=attach&amp;db=cedu&amp;host=&amp;_sid=%7b07BD70FB%7d&amp;port=-1&amp;_hca=&amp;_hcf=&amp;id=./i/a/13_11_2012/c.n._c._regno_unito.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2171</Words>
  <Characters>12378</Characters>
  <Application>Microsoft Office Word</Application>
  <DocSecurity>0</DocSecurity>
  <Lines>103</Lines>
  <Paragraphs>29</Paragraphs>
  <ScaleCrop>false</ScaleCrop>
  <Company>Ministero della Giustizia</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2025-11-07T07:58:00Z</dcterms:created>
  <dcterms:modified xsi:type="dcterms:W3CDTF">2025-11-07T08:04:00Z</dcterms:modified>
</cp:coreProperties>
</file>