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3654" w14:textId="50A9B06D" w:rsidR="00E210CB" w:rsidRDefault="00E210CB" w:rsidP="00E210CB">
      <w:pPr>
        <w:jc w:val="center"/>
      </w:pPr>
      <w:r>
        <w:fldChar w:fldCharType="begin"/>
      </w:r>
      <w:r>
        <w:instrText>HYPERLINK "https://hudoc.echr.coe.int"</w:instrText>
      </w:r>
      <w:r>
        <w:fldChar w:fldCharType="separate"/>
      </w:r>
      <w:r w:rsidRPr="001C19D4">
        <w:rPr>
          <w:rStyle w:val="Collegamentoipertestuale"/>
        </w:rPr>
        <w:t>https://hudoc.echr.coe.int</w:t>
      </w:r>
      <w:r>
        <w:fldChar w:fldCharType="end"/>
      </w:r>
      <w:r>
        <w:t xml:space="preserve"> </w:t>
      </w:r>
    </w:p>
    <w:p w14:paraId="68A53329" w14:textId="77777777" w:rsidR="00045656" w:rsidRPr="00147FC8" w:rsidRDefault="00045656" w:rsidP="00045656">
      <w:pPr>
        <w:jc w:val="center"/>
      </w:pPr>
      <w:r w:rsidRPr="00147FC8">
        <w:t>CORTE EUROPEA DEI DIRITTI DELL’UOMO</w:t>
      </w:r>
    </w:p>
    <w:p w14:paraId="0D7FF2C2" w14:textId="4C197285" w:rsidR="00E210CB" w:rsidRPr="00E210CB" w:rsidRDefault="00E210CB" w:rsidP="00E210CB">
      <w:pPr>
        <w:jc w:val="center"/>
      </w:pPr>
      <w:r w:rsidRPr="00E210CB">
        <w:t>TERZA SEZIONE</w:t>
      </w:r>
    </w:p>
    <w:p w14:paraId="41D39275" w14:textId="77777777" w:rsidR="00E210CB" w:rsidRPr="00E210CB" w:rsidRDefault="00E210CB" w:rsidP="00E210CB">
      <w:pPr>
        <w:jc w:val="center"/>
      </w:pPr>
      <w:r w:rsidRPr="00E210CB">
        <w:rPr>
          <w:b/>
          <w:bCs/>
        </w:rPr>
        <w:t>CASO ALBANESE CONTRO ITALIA</w:t>
      </w:r>
    </w:p>
    <w:p w14:paraId="60AC7FE8" w14:textId="77777777" w:rsidR="00E210CB" w:rsidRPr="00E210CB" w:rsidRDefault="00E210CB" w:rsidP="00E210CB">
      <w:pPr>
        <w:jc w:val="center"/>
      </w:pPr>
      <w:r w:rsidRPr="00E210CB">
        <w:rPr>
          <w:i/>
          <w:iCs/>
        </w:rPr>
        <w:t>(Richiesta n. </w:t>
      </w:r>
      <w:hyperlink r:id="rId6" w:anchor="{%22appno%22:[%2277924/01%22]}" w:tgtFrame="_blank" w:history="1">
        <w:r w:rsidRPr="00E210CB">
          <w:rPr>
            <w:rStyle w:val="Collegamentoipertestuale"/>
            <w:i/>
            <w:iCs/>
          </w:rPr>
          <w:t>77924/01</w:t>
        </w:r>
      </w:hyperlink>
      <w:r w:rsidRPr="00E210CB">
        <w:rPr>
          <w:i/>
          <w:iCs/>
        </w:rPr>
        <w:t> )</w:t>
      </w:r>
    </w:p>
    <w:p w14:paraId="64DAD156" w14:textId="77777777" w:rsidR="00E210CB" w:rsidRPr="00E210CB" w:rsidRDefault="00E210CB" w:rsidP="00E210CB">
      <w:pPr>
        <w:jc w:val="center"/>
      </w:pPr>
      <w:r w:rsidRPr="00E210CB">
        <w:t>STRASBURGO</w:t>
      </w:r>
    </w:p>
    <w:p w14:paraId="73EB52C2" w14:textId="77777777" w:rsidR="00E210CB" w:rsidRPr="00E210CB" w:rsidRDefault="00E210CB" w:rsidP="00E210CB">
      <w:pPr>
        <w:jc w:val="center"/>
      </w:pPr>
      <w:r w:rsidRPr="00E210CB">
        <w:t>23 marzo 2006</w:t>
      </w:r>
    </w:p>
    <w:p w14:paraId="09BBBE96" w14:textId="77777777" w:rsidR="00E210CB" w:rsidRPr="00E210CB" w:rsidRDefault="00E210CB" w:rsidP="00E210CB">
      <w:pPr>
        <w:jc w:val="center"/>
      </w:pPr>
      <w:r w:rsidRPr="00E210CB">
        <w:rPr>
          <w:i/>
          <w:iCs/>
        </w:rPr>
        <w:t>03/07/2006</w:t>
      </w:r>
    </w:p>
    <w:p w14:paraId="41CF10E7" w14:textId="77777777" w:rsidR="00E210CB" w:rsidRPr="00E210CB" w:rsidRDefault="00E210CB" w:rsidP="00E210CB">
      <w:pPr>
        <w:jc w:val="both"/>
      </w:pPr>
      <w:r w:rsidRPr="00E210CB">
        <w:rPr>
          <w:i/>
          <w:iCs/>
        </w:rPr>
        <w:t>La presente sentenza diventerà definitiva alle condizioni stabilite dall'articolo 44 § 2 della Convenzione. Potrà essere soggetta a revisione editoriale.  </w:t>
      </w:r>
    </w:p>
    <w:p w14:paraId="0186EE60" w14:textId="77777777" w:rsidR="00E210CB" w:rsidRPr="00E210CB" w:rsidRDefault="00E210CB" w:rsidP="00E210CB">
      <w:pPr>
        <w:jc w:val="both"/>
      </w:pPr>
      <w:r w:rsidRPr="00E210CB">
        <w:rPr>
          <w:b/>
          <w:bCs/>
        </w:rPr>
        <w:t xml:space="preserve">Nel caso </w:t>
      </w:r>
      <w:proofErr w:type="gramStart"/>
      <w:r w:rsidRPr="00E210CB">
        <w:rPr>
          <w:b/>
          <w:bCs/>
        </w:rPr>
        <w:t>Albanese</w:t>
      </w:r>
      <w:proofErr w:type="gramEnd"/>
      <w:r w:rsidRPr="00E210CB">
        <w:rPr>
          <w:b/>
          <w:bCs/>
        </w:rPr>
        <w:t xml:space="preserve"> contro Italia,</w:t>
      </w:r>
    </w:p>
    <w:p w14:paraId="3073998A" w14:textId="77777777" w:rsidR="00E210CB" w:rsidRPr="00E210CB" w:rsidRDefault="00E210CB" w:rsidP="00E210CB">
      <w:pPr>
        <w:jc w:val="both"/>
      </w:pPr>
      <w:r w:rsidRPr="00E210CB">
        <w:t xml:space="preserve">La Corte europea dei diritti dell'uomo (Terza Sezione), riunita in una Camera composta </w:t>
      </w:r>
      <w:proofErr w:type="gramStart"/>
      <w:r w:rsidRPr="00E210CB">
        <w:t>da :</w:t>
      </w:r>
      <w:proofErr w:type="gramEnd"/>
      <w:r w:rsidRPr="00E210CB">
        <w:t> </w:t>
      </w:r>
    </w:p>
    <w:p w14:paraId="319C0787" w14:textId="77777777" w:rsidR="00667B1D" w:rsidRDefault="00E210CB" w:rsidP="00E210CB">
      <w:pPr>
        <w:jc w:val="both"/>
      </w:pPr>
      <w:r w:rsidRPr="00E210CB">
        <w:t> MM. BM </w:t>
      </w:r>
      <w:proofErr w:type="spellStart"/>
      <w:proofErr w:type="gramStart"/>
      <w:r w:rsidRPr="00E210CB">
        <w:t>Zupančič</w:t>
      </w:r>
      <w:proofErr w:type="spellEnd"/>
      <w:r w:rsidRPr="00E210CB">
        <w:t> ,</w:t>
      </w:r>
      <w:proofErr w:type="gramEnd"/>
      <w:r w:rsidRPr="00E210CB">
        <w:t> </w:t>
      </w:r>
      <w:proofErr w:type="gramStart"/>
      <w:r w:rsidRPr="00E210CB">
        <w:rPr>
          <w:i/>
          <w:iCs/>
        </w:rPr>
        <w:t>presidente </w:t>
      </w:r>
      <w:r w:rsidRPr="00E210CB">
        <w:t>,</w:t>
      </w:r>
      <w:proofErr w:type="gramEnd"/>
      <w:r w:rsidRPr="00E210CB">
        <w:br/>
        <w:t>  L. </w:t>
      </w:r>
      <w:proofErr w:type="spellStart"/>
      <w:proofErr w:type="gramStart"/>
      <w:r w:rsidRPr="00E210CB">
        <w:t>Caflisch</w:t>
      </w:r>
      <w:proofErr w:type="spellEnd"/>
      <w:r w:rsidRPr="00E210CB">
        <w:t> ,</w:t>
      </w:r>
      <w:proofErr w:type="gramEnd"/>
      <w:r w:rsidRPr="00E210CB">
        <w:br/>
        <w:t> Mia madre M. </w:t>
      </w:r>
      <w:proofErr w:type="spellStart"/>
      <w:r w:rsidRPr="00E210CB">
        <w:t>Tsatsa-</w:t>
      </w:r>
      <w:proofErr w:type="gramStart"/>
      <w:r w:rsidRPr="00E210CB">
        <w:t>Nikolovska</w:t>
      </w:r>
      <w:proofErr w:type="spellEnd"/>
      <w:r w:rsidRPr="00E210CB">
        <w:t> ,</w:t>
      </w:r>
      <w:proofErr w:type="gramEnd"/>
      <w:r w:rsidRPr="00E210CB">
        <w:br/>
        <w:t> MM. V. </w:t>
      </w:r>
      <w:proofErr w:type="gramStart"/>
      <w:r w:rsidRPr="00E210CB">
        <w:t>Zagrebelsky ,</w:t>
      </w:r>
      <w:proofErr w:type="gramEnd"/>
      <w:r w:rsidRPr="00E210CB">
        <w:br/>
        <w:t>  E. </w:t>
      </w:r>
      <w:proofErr w:type="spellStart"/>
      <w:proofErr w:type="gramStart"/>
      <w:r w:rsidRPr="00E210CB">
        <w:t>Myjer</w:t>
      </w:r>
      <w:proofErr w:type="spellEnd"/>
      <w:r w:rsidRPr="00E210CB">
        <w:t> ,</w:t>
      </w:r>
      <w:proofErr w:type="gramEnd"/>
      <w:r w:rsidRPr="00E210CB">
        <w:br/>
        <w:t>  David Thor </w:t>
      </w:r>
      <w:proofErr w:type="spellStart"/>
      <w:r w:rsidRPr="00E210CB">
        <w:t>Bjorgvinsson</w:t>
      </w:r>
      <w:proofErr w:type="spellEnd"/>
      <w:r w:rsidRPr="00E210CB">
        <w:t>,</w:t>
      </w:r>
    </w:p>
    <w:p w14:paraId="5DD6139B" w14:textId="2D0B0252" w:rsidR="00E210CB" w:rsidRPr="00E210CB" w:rsidRDefault="00E210CB" w:rsidP="00E210CB">
      <w:pPr>
        <w:jc w:val="both"/>
      </w:pPr>
      <w:r w:rsidRPr="00E210CB">
        <w:t>I. </w:t>
      </w:r>
      <w:proofErr w:type="spellStart"/>
      <w:r w:rsidRPr="00E210CB">
        <w:t>Ziemele</w:t>
      </w:r>
      <w:proofErr w:type="spellEnd"/>
      <w:r w:rsidRPr="00E210CB">
        <w:t>, </w:t>
      </w:r>
    </w:p>
    <w:p w14:paraId="78BB09CB" w14:textId="15A0C979" w:rsidR="00E210CB" w:rsidRPr="00E210CB" w:rsidRDefault="00E210CB" w:rsidP="00E210CB">
      <w:pPr>
        <w:jc w:val="both"/>
      </w:pPr>
      <w:r w:rsidRPr="00E210CB">
        <w:t>e V</w:t>
      </w:r>
      <w:r w:rsidR="002533C2">
        <w:t xml:space="preserve"> B</w:t>
      </w:r>
      <w:r w:rsidRPr="00E210CB">
        <w:t>erger</w:t>
      </w:r>
      <w:r w:rsidR="002533C2">
        <w:t>, Cancelliere</w:t>
      </w:r>
    </w:p>
    <w:p w14:paraId="3A73A93B" w14:textId="77777777" w:rsidR="00E210CB" w:rsidRPr="00E210CB" w:rsidRDefault="00E210CB" w:rsidP="00E210CB">
      <w:pPr>
        <w:jc w:val="both"/>
      </w:pPr>
      <w:r w:rsidRPr="00E210CB">
        <w:t>Dopo aver deliberato in camera di consiglio il 5 gennaio e il 2 marzo 2006,</w:t>
      </w:r>
    </w:p>
    <w:p w14:paraId="02301946" w14:textId="77777777" w:rsidR="00E210CB" w:rsidRPr="00E210CB" w:rsidRDefault="00E210CB" w:rsidP="00E210CB">
      <w:pPr>
        <w:jc w:val="both"/>
      </w:pPr>
      <w:r w:rsidRPr="00E210CB">
        <w:t xml:space="preserve">Emette la seguente sentenza, adottata in quest'ultima </w:t>
      </w:r>
      <w:proofErr w:type="gramStart"/>
      <w:r w:rsidRPr="00E210CB">
        <w:t>data :</w:t>
      </w:r>
      <w:proofErr w:type="gramEnd"/>
      <w:r w:rsidRPr="00E210CB">
        <w:t> </w:t>
      </w:r>
    </w:p>
    <w:p w14:paraId="0A4647EF" w14:textId="77777777" w:rsidR="00E210CB" w:rsidRPr="00E210CB" w:rsidRDefault="00E210CB" w:rsidP="00E210CB">
      <w:pPr>
        <w:jc w:val="both"/>
      </w:pPr>
      <w:r w:rsidRPr="00E210CB">
        <w:t>PROCEDURA</w:t>
      </w:r>
    </w:p>
    <w:p w14:paraId="45424377" w14:textId="77777777" w:rsidR="00E210CB" w:rsidRPr="00E210CB" w:rsidRDefault="00E210CB" w:rsidP="00E210CB">
      <w:pPr>
        <w:jc w:val="both"/>
      </w:pPr>
      <w:r w:rsidRPr="00E210CB">
        <w:t>1. Il caso ha avuto origine da un ricorso (</w:t>
      </w:r>
      <w:proofErr w:type="gramStart"/>
      <w:r w:rsidRPr="00E210CB">
        <w:t>n .</w:t>
      </w:r>
      <w:proofErr w:type="gramEnd"/>
      <w:r w:rsidRPr="00E210CB">
        <w:t> </w:t>
      </w:r>
      <w:hyperlink r:id="rId7" w:anchor="{%22appno%22:[%2277924/01%22]}" w:tgtFrame="_blank" w:history="1">
        <w:r w:rsidRPr="00E210CB">
          <w:rPr>
            <w:rStyle w:val="Collegamentoipertestuale"/>
          </w:rPr>
          <w:t>77924/01</w:t>
        </w:r>
      </w:hyperlink>
      <w:r w:rsidRPr="00E210CB">
        <w:t> ) contro la Repubblica italiana, depositato presso la Corte il 6 settembre 2001 da un cittadino di tale Stato, il sig. Alfredo Albanese (" il ricorrente "), ai sensi dell'articolo 34 della Convenzione per la salvaguardia dei diritti dell'uomo e delle libertà fondamentali (" la Convenzione ").        </w:t>
      </w:r>
    </w:p>
    <w:p w14:paraId="1A22FA13" w14:textId="77777777" w:rsidR="00E210CB" w:rsidRPr="00E210CB" w:rsidRDefault="00E210CB" w:rsidP="00E210CB">
      <w:pPr>
        <w:jc w:val="both"/>
      </w:pPr>
      <w:r w:rsidRPr="00E210CB">
        <w:t xml:space="preserve">2. Il ricorrente è rappresentato dinanzi alla Corte dall'avvocato Giovanni Beatrice, del foro di Benevento. Il Governo italiano (" il Governo ") è rappresentato dal suo agente, l'avvocato Ivo Maria Braguglia, dal suo </w:t>
      </w:r>
      <w:proofErr w:type="spellStart"/>
      <w:r w:rsidRPr="00E210CB">
        <w:t>coagente</w:t>
      </w:r>
      <w:proofErr w:type="spellEnd"/>
      <w:r w:rsidRPr="00E210CB">
        <w:t xml:space="preserve">, l'avvocato Francesco Crisafulli, e dal suo vice </w:t>
      </w:r>
      <w:proofErr w:type="spellStart"/>
      <w:r w:rsidRPr="00E210CB">
        <w:t>coagente</w:t>
      </w:r>
      <w:proofErr w:type="spellEnd"/>
      <w:r w:rsidRPr="00E210CB">
        <w:t>, l'avvocato Nicola Lettieri.      </w:t>
      </w:r>
    </w:p>
    <w:p w14:paraId="4AE06AE4" w14:textId="77777777" w:rsidR="00E210CB" w:rsidRPr="00E210CB" w:rsidRDefault="00E210CB" w:rsidP="00E210CB">
      <w:pPr>
        <w:jc w:val="both"/>
      </w:pPr>
      <w:r w:rsidRPr="00E210CB">
        <w:lastRenderedPageBreak/>
        <w:t>3. Il ricorrente ha lamentato la violazione degli articoli 8 e 10 della Convenzione, dell'articolo 1 del Protocollo n. </w:t>
      </w:r>
      <w:proofErr w:type="gramStart"/>
      <w:r w:rsidRPr="00E210CB">
        <w:t>1 ,</w:t>
      </w:r>
      <w:proofErr w:type="gramEnd"/>
      <w:r w:rsidRPr="00E210CB">
        <w:t xml:space="preserve"> dell'articolo 2 del Protocollo n. </w:t>
      </w:r>
      <w:proofErr w:type="gramStart"/>
      <w:r w:rsidRPr="00E210CB">
        <w:t>4 ,</w:t>
      </w:r>
      <w:proofErr w:type="gramEnd"/>
      <w:r w:rsidRPr="00E210CB">
        <w:t xml:space="preserve"> dell'articolo 6 § 1 e 13 della Convenzione e dell'articolo 3 del Protocollo n. </w:t>
      </w:r>
      <w:proofErr w:type="gramStart"/>
      <w:r w:rsidRPr="00E210CB">
        <w:t>1 .</w:t>
      </w:r>
      <w:proofErr w:type="gramEnd"/>
      <w:r w:rsidRPr="00E210CB">
        <w:t>  </w:t>
      </w:r>
    </w:p>
    <w:p w14:paraId="1E718B51" w14:textId="77777777" w:rsidR="00E210CB" w:rsidRPr="00E210CB" w:rsidRDefault="00E210CB" w:rsidP="00E210CB">
      <w:pPr>
        <w:jc w:val="both"/>
      </w:pPr>
      <w:r w:rsidRPr="00E210CB">
        <w:t>4. Il ricorso è stato assegnato alla Prima Sezione della Corte (articolo 52 § 1 del Regolamento della Corte). All'interno di tale Sezione, la Camera incaricata dell'esame del caso (articolo 27 § 1 della Convenzione) è stata costituita in conformità all'articolo 26 § 1 del Regolamento della Corte.    </w:t>
      </w:r>
    </w:p>
    <w:p w14:paraId="04FA57C7" w14:textId="77777777" w:rsidR="00E210CB" w:rsidRPr="00E210CB" w:rsidRDefault="00E210CB" w:rsidP="00E210CB">
      <w:pPr>
        <w:jc w:val="both"/>
      </w:pPr>
      <w:r w:rsidRPr="00E210CB">
        <w:t>5. Con decisione del 13 maggio 2004, la Corte ha dichiarato il ricorso parzialmente irricevibile e ha deciso di comunicare al Governo i motivi di ricorso ai sensi degli articoli 8 della Convenzione, 1 del Protocollo n. </w:t>
      </w:r>
      <w:proofErr w:type="gramStart"/>
      <w:r w:rsidRPr="00E210CB">
        <w:t>1 ,</w:t>
      </w:r>
      <w:proofErr w:type="gramEnd"/>
      <w:r w:rsidRPr="00E210CB">
        <w:t xml:space="preserve"> 2 del Protocollo n. </w:t>
      </w:r>
      <w:proofErr w:type="gramStart"/>
      <w:r w:rsidRPr="00E210CB">
        <w:t>4 ,</w:t>
      </w:r>
      <w:proofErr w:type="gramEnd"/>
      <w:r w:rsidRPr="00E210CB">
        <w:t xml:space="preserve"> 13 della Convenzione e 3 del Protocollo n. 1. Invocando l'articolo 29 § 3, ha deciso che la ricevibilità e il merito del caso sarebbero stati esaminati contemporaneamente.  </w:t>
      </w:r>
    </w:p>
    <w:p w14:paraId="13062D5C" w14:textId="77777777" w:rsidR="00E210CB" w:rsidRPr="00E210CB" w:rsidRDefault="00E210CB" w:rsidP="00E210CB">
      <w:pPr>
        <w:jc w:val="both"/>
      </w:pPr>
      <w:r w:rsidRPr="00E210CB">
        <w:t>6. Il 1° novembre 2004, la Corte ha modificato la composizione delle sue sezioni (articolo 25 § 1 del Regolamento della Corte). Il presente ricorso è stato assegnato alla Terza Sezione così ricostituita (articolo 52 § 1 del Regolamento).  </w:t>
      </w:r>
    </w:p>
    <w:p w14:paraId="6F06E182" w14:textId="77777777" w:rsidR="00E210CB" w:rsidRPr="00E210CB" w:rsidRDefault="00E210CB" w:rsidP="00E210CB">
      <w:pPr>
        <w:jc w:val="both"/>
      </w:pPr>
      <w:r w:rsidRPr="00E210CB">
        <w:t>7. Sia il ricorrente che il Governo hanno presentato osservazioni scritte sul merito della causa (articolo 59 § 1 del Regolamento della Corte).     </w:t>
      </w:r>
    </w:p>
    <w:p w14:paraId="7606362E" w14:textId="77777777" w:rsidR="00E210CB" w:rsidRPr="00E210CB" w:rsidRDefault="00E210CB" w:rsidP="00E210CB">
      <w:pPr>
        <w:jc w:val="both"/>
      </w:pPr>
      <w:r w:rsidRPr="00E210CB">
        <w:t>IN REALTÀ</w:t>
      </w:r>
    </w:p>
    <w:p w14:paraId="67596996" w14:textId="77777777" w:rsidR="00E210CB" w:rsidRPr="00E210CB" w:rsidRDefault="00E210CB" w:rsidP="00E210CB">
      <w:pPr>
        <w:jc w:val="both"/>
      </w:pPr>
      <w:r w:rsidRPr="00E210CB">
        <w:t>I. LE CIRCOSTANZE DELLA SPECIE  </w:t>
      </w:r>
    </w:p>
    <w:p w14:paraId="6C348877" w14:textId="77777777" w:rsidR="00E210CB" w:rsidRPr="00E210CB" w:rsidRDefault="00E210CB" w:rsidP="00E210CB">
      <w:pPr>
        <w:jc w:val="both"/>
      </w:pPr>
      <w:r w:rsidRPr="00E210CB">
        <w:t>8. Il ricorrente è nato nel 1941 e risiede a Benevento.  </w:t>
      </w:r>
    </w:p>
    <w:p w14:paraId="3664296E" w14:textId="77777777" w:rsidR="00E210CB" w:rsidRPr="00E210CB" w:rsidRDefault="00E210CB" w:rsidP="00E210CB">
      <w:pPr>
        <w:jc w:val="both"/>
      </w:pPr>
      <w:r w:rsidRPr="00E210CB">
        <w:t>9. Con sentenza depositata il 26 giugno 1998, il tribunale di Benevento ha dichiarato il fallimento di tre società nonché il fallimento personale del ricorrente in quanto socio delle stesse.  </w:t>
      </w:r>
    </w:p>
    <w:p w14:paraId="3B961F87" w14:textId="77777777" w:rsidR="00E210CB" w:rsidRPr="00E210CB" w:rsidRDefault="00E210CB" w:rsidP="00E210CB">
      <w:pPr>
        <w:jc w:val="both"/>
      </w:pPr>
      <w:r w:rsidRPr="00E210CB">
        <w:t>10. Il 16 luglio 1998 il curatore fallimentare redasse l'inventario dei beni del ricorrente.  </w:t>
      </w:r>
    </w:p>
    <w:p w14:paraId="09444B39" w14:textId="77777777" w:rsidR="00E210CB" w:rsidRPr="00E210CB" w:rsidRDefault="00E210CB" w:rsidP="00E210CB">
      <w:pPr>
        <w:jc w:val="both"/>
      </w:pPr>
      <w:r w:rsidRPr="00E210CB">
        <w:t xml:space="preserve">11. Il 4 agosto 1998, il giudice delegato </w:t>
      </w:r>
      <w:proofErr w:type="gramStart"/>
      <w:r w:rsidRPr="00E210CB">
        <w:t>(“ il</w:t>
      </w:r>
      <w:proofErr w:type="gramEnd"/>
      <w:r w:rsidRPr="00E210CB">
        <w:t xml:space="preserve"> </w:t>
      </w:r>
      <w:proofErr w:type="gramStart"/>
      <w:r w:rsidRPr="00E210CB">
        <w:t>giudice ”</w:t>
      </w:r>
      <w:proofErr w:type="gramEnd"/>
      <w:r w:rsidRPr="00E210CB">
        <w:t>) ha autorizzato l’apertura di un conto corrente relativo al fallimento.    </w:t>
      </w:r>
    </w:p>
    <w:p w14:paraId="1C0680A2" w14:textId="77777777" w:rsidR="00E210CB" w:rsidRPr="00E210CB" w:rsidRDefault="00E210CB" w:rsidP="00E210CB">
      <w:pPr>
        <w:jc w:val="both"/>
      </w:pPr>
      <w:r w:rsidRPr="00E210CB">
        <w:t>12. Il 12 novembre 1998 e l'11 gennaio 1999, il curatore fallimentare chiese alla Sig.ra </w:t>
      </w:r>
      <w:proofErr w:type="gramStart"/>
      <w:r w:rsidRPr="00E210CB">
        <w:t>CA ,</w:t>
      </w:r>
      <w:proofErr w:type="gramEnd"/>
      <w:r w:rsidRPr="00E210CB">
        <w:t xml:space="preserve"> inquilina di un edificio di proprietà di un socio del ricorrente, di adeguarsi ai prezzi di mercato.  </w:t>
      </w:r>
    </w:p>
    <w:p w14:paraId="40817FCC" w14:textId="77777777" w:rsidR="00E210CB" w:rsidRPr="00E210CB" w:rsidRDefault="00E210CB" w:rsidP="00E210CB">
      <w:pPr>
        <w:jc w:val="both"/>
      </w:pPr>
      <w:r w:rsidRPr="00E210CB">
        <w:t>13. Il 15 febbraio 1999, il curatore depositò una relazione presso il tribunale.  </w:t>
      </w:r>
    </w:p>
    <w:p w14:paraId="431090BF" w14:textId="77777777" w:rsidR="00E210CB" w:rsidRPr="00E210CB" w:rsidRDefault="00E210CB" w:rsidP="00E210CB">
      <w:pPr>
        <w:jc w:val="both"/>
      </w:pPr>
      <w:r w:rsidRPr="00E210CB">
        <w:t>14. L'8 ottobre 1999 e l'8 novembre 1999 il giudice ha accertato il passivo del fallimento e, in quest'ultima data, ha dichiarato il passivo esecutivo.  </w:t>
      </w:r>
    </w:p>
    <w:p w14:paraId="6D8DCED8" w14:textId="77777777" w:rsidR="00E210CB" w:rsidRPr="00E210CB" w:rsidRDefault="00E210CB" w:rsidP="00E210CB">
      <w:pPr>
        <w:jc w:val="both"/>
      </w:pPr>
      <w:r w:rsidRPr="00E210CB">
        <w:t>15. Tra il 14 e il 28 dicembre 1999 sono stati presentati al giudice dieci ricorsi per opporsi al passivo fallimentare.  </w:t>
      </w:r>
    </w:p>
    <w:p w14:paraId="74451E0A" w14:textId="77777777" w:rsidR="00E210CB" w:rsidRPr="00E210CB" w:rsidRDefault="00E210CB" w:rsidP="00E210CB">
      <w:pPr>
        <w:jc w:val="both"/>
      </w:pPr>
      <w:r w:rsidRPr="00E210CB">
        <w:t xml:space="preserve">16. Su richiesta del giudice, in una relazione depositata il 9 dicembre 2002, il curatore ha indicato che il ritardo nella chiusura del procedimento era dovuto alle difficoltà incontrate nell'asta di alcuni beni inclusi nella massa fallimentare. In particolare, ha indicato che erano stati programmati due </w:t>
      </w:r>
      <w:r w:rsidRPr="00E210CB">
        <w:lastRenderedPageBreak/>
        <w:t>tentativi di vendita di un immobile per il 27 gennaio 2003 e il 3 febbraio 2003 e che il procedimento avrebbe potuto essere chiuso se l'immobile fosse stato venduto.   </w:t>
      </w:r>
    </w:p>
    <w:p w14:paraId="1A9E634A" w14:textId="77777777" w:rsidR="00E210CB" w:rsidRPr="00E210CB" w:rsidRDefault="00E210CB" w:rsidP="00E210CB">
      <w:pPr>
        <w:jc w:val="both"/>
      </w:pPr>
      <w:r w:rsidRPr="00E210CB">
        <w:t>17. Il 30 dicembre 2003, il curatore fallimentare informò il giudice che tutti i beni facenti parte del patrimonio fallimentare erano stati venduti e che stava preparando il rendiconto di gestione.  </w:t>
      </w:r>
    </w:p>
    <w:p w14:paraId="4953D8E3" w14:textId="77777777" w:rsidR="00E210CB" w:rsidRPr="00E210CB" w:rsidRDefault="00E210CB" w:rsidP="00E210CB">
      <w:pPr>
        <w:jc w:val="both"/>
      </w:pPr>
      <w:r w:rsidRPr="00E210CB">
        <w:t>18. Il 10 marzo 2004 il fiduciario ha depositato il rendiconto di gestione.  </w:t>
      </w:r>
    </w:p>
    <w:p w14:paraId="30B44F7D" w14:textId="77777777" w:rsidR="00E210CB" w:rsidRPr="00E210CB" w:rsidRDefault="00E210CB" w:rsidP="00E210CB">
      <w:pPr>
        <w:jc w:val="both"/>
      </w:pPr>
      <w:r w:rsidRPr="00E210CB">
        <w:t>19. Nello stesso giorno il giudice ha fissato l'udienza per il 24 aprile 2004 per la presentazione di eventuali osservazioni dei creditori fallimentari.  </w:t>
      </w:r>
    </w:p>
    <w:p w14:paraId="105A2BC8" w14:textId="77777777" w:rsidR="00E210CB" w:rsidRPr="00E210CB" w:rsidRDefault="00E210CB" w:rsidP="00E210CB">
      <w:pPr>
        <w:jc w:val="both"/>
      </w:pPr>
      <w:r w:rsidRPr="00E210CB">
        <w:t>20. In tale data è stato approvato il conto di gestione.  </w:t>
      </w:r>
    </w:p>
    <w:p w14:paraId="6E4E4210" w14:textId="77777777" w:rsidR="00E210CB" w:rsidRPr="00E210CB" w:rsidRDefault="00E210CB" w:rsidP="00E210CB">
      <w:pPr>
        <w:jc w:val="both"/>
      </w:pPr>
      <w:r w:rsidRPr="00E210CB">
        <w:t>21. L'8 giugno 2004, il giudice ha ordinato il deposito della bozza di distribuzione definitiva dei beni fallimentari.  </w:t>
      </w:r>
    </w:p>
    <w:p w14:paraId="4B4958AC" w14:textId="77777777" w:rsidR="00E210CB" w:rsidRPr="00E210CB" w:rsidRDefault="00E210CB" w:rsidP="00E210CB">
      <w:pPr>
        <w:jc w:val="both"/>
      </w:pPr>
      <w:r w:rsidRPr="00E210CB">
        <w:t>22. Con sentenza depositata il 25 ottobre 2004, il giudice ha chiuso il procedimento per la distribuzione definitiva dei beni.  </w:t>
      </w:r>
    </w:p>
    <w:p w14:paraId="57DB97DF" w14:textId="77777777" w:rsidR="00E210CB" w:rsidRPr="00E210CB" w:rsidRDefault="00E210CB" w:rsidP="00E210CB">
      <w:pPr>
        <w:jc w:val="both"/>
      </w:pPr>
      <w:r w:rsidRPr="00E210CB">
        <w:t>II. DIRITTO INTERNO RILEVANTE  </w:t>
      </w:r>
    </w:p>
    <w:p w14:paraId="1E5E3A9A" w14:textId="77777777" w:rsidR="00E210CB" w:rsidRPr="00E210CB" w:rsidRDefault="00E210CB" w:rsidP="00E210CB">
      <w:pPr>
        <w:jc w:val="both"/>
      </w:pPr>
      <w:r w:rsidRPr="00E210CB">
        <w:t xml:space="preserve">23. La legge fallimentare (Regio Decreto n. 267 del 16 marzo 1942) prevede, tra </w:t>
      </w:r>
      <w:proofErr w:type="gramStart"/>
      <w:r w:rsidRPr="00E210CB">
        <w:t>l'altro :</w:t>
      </w:r>
      <w:proofErr w:type="gramEnd"/>
      <w:r w:rsidRPr="00E210CB">
        <w:t>     </w:t>
      </w:r>
    </w:p>
    <w:p w14:paraId="1FFAF1B3" w14:textId="77777777" w:rsidR="00E210CB" w:rsidRPr="00E210CB" w:rsidRDefault="00E210CB" w:rsidP="00E210CB">
      <w:pPr>
        <w:jc w:val="both"/>
      </w:pPr>
      <w:r w:rsidRPr="00E210CB">
        <w:rPr>
          <w:b/>
          <w:bCs/>
        </w:rPr>
        <w:t>Articolo 26</w:t>
      </w:r>
    </w:p>
    <w:p w14:paraId="79172C00" w14:textId="77777777" w:rsidR="00E210CB" w:rsidRPr="00E210CB" w:rsidRDefault="00E210CB" w:rsidP="00E210CB">
      <w:pPr>
        <w:jc w:val="both"/>
      </w:pPr>
      <w:r w:rsidRPr="00E210CB">
        <w:rPr>
          <w:b/>
          <w:bCs/>
        </w:rPr>
        <w:t> </w:t>
      </w:r>
    </w:p>
    <w:p w14:paraId="09000340" w14:textId="77777777" w:rsidR="00E210CB" w:rsidRPr="00E210CB" w:rsidRDefault="00E210CB" w:rsidP="00E210CB">
      <w:pPr>
        <w:jc w:val="both"/>
      </w:pPr>
      <w:r w:rsidRPr="00E210CB">
        <w:t>  " Le decisioni del giudice delegato possono essere impugnate (...) al tribunale entro tre giorni dalla data di adozione, dal curatore, dal fallito, dal comitato dei creditori e da ogni altro interessato. </w:t>
      </w:r>
    </w:p>
    <w:p w14:paraId="60895C7B" w14:textId="77777777" w:rsidR="00E210CB" w:rsidRPr="00E210CB" w:rsidRDefault="00E210CB" w:rsidP="00E210CB">
      <w:pPr>
        <w:jc w:val="both"/>
      </w:pPr>
      <w:r w:rsidRPr="00E210CB">
        <w:t>  Il tribunale decide in camera di consiglio con atto motivato.</w:t>
      </w:r>
    </w:p>
    <w:p w14:paraId="10ADB74C" w14:textId="77777777" w:rsidR="00E210CB" w:rsidRPr="00E210CB" w:rsidRDefault="00E210CB" w:rsidP="00E210CB">
      <w:pPr>
        <w:jc w:val="both"/>
      </w:pPr>
      <w:r w:rsidRPr="00E210CB">
        <w:t xml:space="preserve">  Il ricorso non sospende l'esecuzione della decisione </w:t>
      </w:r>
      <w:proofErr w:type="gramStart"/>
      <w:r w:rsidRPr="00E210CB">
        <w:t>impugnata .</w:t>
      </w:r>
      <w:proofErr w:type="gramEnd"/>
      <w:r w:rsidRPr="00E210CB">
        <w:t> </w:t>
      </w:r>
    </w:p>
    <w:p w14:paraId="735DA590" w14:textId="77777777" w:rsidR="00E210CB" w:rsidRPr="00E210CB" w:rsidRDefault="00E210CB" w:rsidP="00E210CB">
      <w:pPr>
        <w:jc w:val="both"/>
      </w:pPr>
      <w:r w:rsidRPr="00E210CB">
        <w:t> </w:t>
      </w:r>
    </w:p>
    <w:p w14:paraId="6AA58609" w14:textId="77777777" w:rsidR="00E210CB" w:rsidRPr="00E210CB" w:rsidRDefault="00E210CB" w:rsidP="00E210CB">
      <w:pPr>
        <w:jc w:val="both"/>
      </w:pPr>
      <w:r w:rsidRPr="00E210CB">
        <w:rPr>
          <w:b/>
          <w:bCs/>
        </w:rPr>
        <w:t>  Articolo 36</w:t>
      </w:r>
    </w:p>
    <w:p w14:paraId="6B1409DE" w14:textId="77777777" w:rsidR="00E210CB" w:rsidRPr="00E210CB" w:rsidRDefault="00E210CB" w:rsidP="00E210CB">
      <w:pPr>
        <w:jc w:val="both"/>
      </w:pPr>
      <w:r w:rsidRPr="00E210CB">
        <w:rPr>
          <w:b/>
          <w:bCs/>
        </w:rPr>
        <w:t> </w:t>
      </w:r>
    </w:p>
    <w:p w14:paraId="7ACB7A7D" w14:textId="77777777" w:rsidR="00E210CB" w:rsidRPr="00E210CB" w:rsidRDefault="00E210CB" w:rsidP="00E210CB">
      <w:pPr>
        <w:jc w:val="both"/>
      </w:pPr>
      <w:r w:rsidRPr="00E210CB">
        <w:t xml:space="preserve">  " Gli atti amministrativi del curatore possono essere impugnati dal fallito e da ogni altro interessato davanti al giudice </w:t>
      </w:r>
      <w:proofErr w:type="gramStart"/>
      <w:r w:rsidRPr="00E210CB">
        <w:t>delegato ;</w:t>
      </w:r>
      <w:proofErr w:type="gramEnd"/>
      <w:r w:rsidRPr="00E210CB">
        <w:t xml:space="preserve"> il giudice decide con sentenza motivata.  </w:t>
      </w:r>
    </w:p>
    <w:p w14:paraId="6B26FC87" w14:textId="77777777" w:rsidR="00E210CB" w:rsidRPr="00E210CB" w:rsidRDefault="00E210CB" w:rsidP="00E210CB">
      <w:pPr>
        <w:jc w:val="both"/>
      </w:pPr>
      <w:r w:rsidRPr="00E210CB">
        <w:t xml:space="preserve">  È possibile presentare ricorso contro questa decisione al tribunale entro tre giorni. Il tribunale emetterà una sentenza motivata dopo aver ascoltato il curatore e il </w:t>
      </w:r>
      <w:proofErr w:type="gramStart"/>
      <w:r w:rsidRPr="00E210CB">
        <w:t>ricorrente .</w:t>
      </w:r>
      <w:proofErr w:type="gramEnd"/>
      <w:r w:rsidRPr="00E210CB">
        <w:t> </w:t>
      </w:r>
    </w:p>
    <w:p w14:paraId="51B2AF44" w14:textId="77777777" w:rsidR="00E210CB" w:rsidRPr="00E210CB" w:rsidRDefault="00E210CB" w:rsidP="00E210CB">
      <w:pPr>
        <w:jc w:val="both"/>
      </w:pPr>
      <w:r w:rsidRPr="00E210CB">
        <w:t> </w:t>
      </w:r>
    </w:p>
    <w:p w14:paraId="4EFAB704" w14:textId="77777777" w:rsidR="00E210CB" w:rsidRPr="00E210CB" w:rsidRDefault="00E210CB" w:rsidP="00E210CB">
      <w:pPr>
        <w:jc w:val="both"/>
      </w:pPr>
      <w:r w:rsidRPr="00E210CB">
        <w:rPr>
          <w:b/>
          <w:bCs/>
        </w:rPr>
        <w:t>Articolo 42</w:t>
      </w:r>
    </w:p>
    <w:p w14:paraId="034C0333" w14:textId="77777777" w:rsidR="00E210CB" w:rsidRPr="00E210CB" w:rsidRDefault="00E210CB" w:rsidP="00E210CB">
      <w:pPr>
        <w:jc w:val="both"/>
      </w:pPr>
      <w:r w:rsidRPr="00E210CB">
        <w:rPr>
          <w:b/>
          <w:bCs/>
        </w:rPr>
        <w:t> </w:t>
      </w:r>
    </w:p>
    <w:p w14:paraId="162380D7" w14:textId="77777777" w:rsidR="00E210CB" w:rsidRPr="00E210CB" w:rsidRDefault="00E210CB" w:rsidP="00E210CB">
      <w:pPr>
        <w:jc w:val="both"/>
      </w:pPr>
      <w:r w:rsidRPr="00E210CB">
        <w:lastRenderedPageBreak/>
        <w:t>" La sentenza che dichiara il fallimento priva il fallito dell'amministrazione e della disposizione dei beni esistenti alla data della sentenza stessa. (...) "  </w:t>
      </w:r>
    </w:p>
    <w:p w14:paraId="6B126C41" w14:textId="77777777" w:rsidR="00E210CB" w:rsidRPr="00E210CB" w:rsidRDefault="00E210CB" w:rsidP="00E210CB">
      <w:pPr>
        <w:jc w:val="both"/>
      </w:pPr>
      <w:r w:rsidRPr="00E210CB">
        <w:t> </w:t>
      </w:r>
    </w:p>
    <w:p w14:paraId="3CCFFAA4" w14:textId="77777777" w:rsidR="00E210CB" w:rsidRPr="00E210CB" w:rsidRDefault="00E210CB" w:rsidP="00E210CB">
      <w:pPr>
        <w:jc w:val="both"/>
      </w:pPr>
      <w:r w:rsidRPr="00E210CB">
        <w:rPr>
          <w:b/>
          <w:bCs/>
        </w:rPr>
        <w:t>Articolo 48</w:t>
      </w:r>
    </w:p>
    <w:p w14:paraId="11CF3754" w14:textId="77777777" w:rsidR="00E210CB" w:rsidRPr="00E210CB" w:rsidRDefault="00E210CB" w:rsidP="00E210CB">
      <w:pPr>
        <w:jc w:val="both"/>
      </w:pPr>
      <w:r w:rsidRPr="00E210CB">
        <w:rPr>
          <w:b/>
          <w:bCs/>
        </w:rPr>
        <w:t> </w:t>
      </w:r>
    </w:p>
    <w:p w14:paraId="558A4B82" w14:textId="77777777" w:rsidR="00E210CB" w:rsidRPr="00E210CB" w:rsidRDefault="00E210CB" w:rsidP="00E210CB">
      <w:pPr>
        <w:jc w:val="both"/>
      </w:pPr>
      <w:r w:rsidRPr="00E210CB">
        <w:t>" La corrispondenza indirizzata al fallito deve essere consegnata al curatore, che ha il diritto di conservare la corrispondenza relativa agli interessi finanziari. Il fallito può accedere alla corrispondenza. Il curatore è tenuto a mantenere la riservatezza sul contenuto della corrispondenza che non riguarda tali interessi finanziari. "  </w:t>
      </w:r>
    </w:p>
    <w:p w14:paraId="357FAAB2" w14:textId="77777777" w:rsidR="00E210CB" w:rsidRPr="00E210CB" w:rsidRDefault="00E210CB" w:rsidP="00E210CB">
      <w:pPr>
        <w:jc w:val="both"/>
      </w:pPr>
      <w:r w:rsidRPr="00E210CB">
        <w:t> </w:t>
      </w:r>
    </w:p>
    <w:p w14:paraId="7DC43ACA" w14:textId="77777777" w:rsidR="00E210CB" w:rsidRPr="00E210CB" w:rsidRDefault="00E210CB" w:rsidP="00E210CB">
      <w:pPr>
        <w:jc w:val="both"/>
      </w:pPr>
      <w:r w:rsidRPr="00E210CB">
        <w:rPr>
          <w:b/>
          <w:bCs/>
        </w:rPr>
        <w:t>Articolo 49</w:t>
      </w:r>
    </w:p>
    <w:p w14:paraId="6C104633" w14:textId="77777777" w:rsidR="00E210CB" w:rsidRPr="00E210CB" w:rsidRDefault="00E210CB" w:rsidP="00E210CB">
      <w:pPr>
        <w:jc w:val="both"/>
      </w:pPr>
      <w:r w:rsidRPr="00E210CB">
        <w:rPr>
          <w:b/>
          <w:bCs/>
        </w:rPr>
        <w:t> </w:t>
      </w:r>
    </w:p>
    <w:p w14:paraId="4762053E" w14:textId="77777777" w:rsidR="00E210CB" w:rsidRPr="00E210CB" w:rsidRDefault="00E210CB" w:rsidP="00E210CB">
      <w:pPr>
        <w:jc w:val="both"/>
      </w:pPr>
      <w:r w:rsidRPr="00E210CB">
        <w:t>" Il fallito non può allontanarsi dal proprio domicilio senza l'autorizzazione del giudice di sorveglianza e deve comparire davanti a detto giudice, al curatore o al comitato dei creditori ogni volta che viene convocato, salvo il caso in cui, per legittimo impedimento, il giudice lo autorizzi a comparire tramite un rappresentante. </w:t>
      </w:r>
    </w:p>
    <w:p w14:paraId="166FF8F6" w14:textId="77777777" w:rsidR="00E210CB" w:rsidRPr="00E210CB" w:rsidRDefault="00E210CB" w:rsidP="00E210CB">
      <w:pPr>
        <w:jc w:val="both"/>
      </w:pPr>
      <w:r w:rsidRPr="00E210CB">
        <w:t xml:space="preserve">Il giudice può far comparire la persona fallita tramite la polizia se non ottempera alla </w:t>
      </w:r>
      <w:proofErr w:type="gramStart"/>
      <w:r w:rsidRPr="00E210CB">
        <w:t>citazione .</w:t>
      </w:r>
      <w:proofErr w:type="gramEnd"/>
      <w:r w:rsidRPr="00E210CB">
        <w:t> </w:t>
      </w:r>
    </w:p>
    <w:p w14:paraId="60AEBC3F" w14:textId="77777777" w:rsidR="00E210CB" w:rsidRPr="00E210CB" w:rsidRDefault="00E210CB" w:rsidP="00E210CB">
      <w:pPr>
        <w:jc w:val="both"/>
      </w:pPr>
      <w:r w:rsidRPr="00E210CB">
        <w:t> </w:t>
      </w:r>
    </w:p>
    <w:p w14:paraId="2A78B6A6" w14:textId="77777777" w:rsidR="00E210CB" w:rsidRPr="00E210CB" w:rsidRDefault="00E210CB" w:rsidP="00E210CB">
      <w:pPr>
        <w:jc w:val="both"/>
      </w:pPr>
      <w:r w:rsidRPr="00E210CB">
        <w:rPr>
          <w:b/>
          <w:bCs/>
        </w:rPr>
        <w:t>Articolo 50</w:t>
      </w:r>
    </w:p>
    <w:p w14:paraId="7403B825" w14:textId="77777777" w:rsidR="00E210CB" w:rsidRPr="00E210CB" w:rsidRDefault="00E210CB" w:rsidP="00E210CB">
      <w:pPr>
        <w:jc w:val="both"/>
      </w:pPr>
      <w:r w:rsidRPr="00E210CB">
        <w:rPr>
          <w:b/>
          <w:bCs/>
        </w:rPr>
        <w:t> </w:t>
      </w:r>
    </w:p>
    <w:p w14:paraId="4DBC6C56" w14:textId="77777777" w:rsidR="00E210CB" w:rsidRPr="00E210CB" w:rsidRDefault="00E210CB" w:rsidP="00E210CB">
      <w:pPr>
        <w:jc w:val="both"/>
      </w:pPr>
      <w:r w:rsidRPr="00E210CB">
        <w:t>" Presso la cancelleria di ogni tribunale è tenuto un registro pubblico in cui sono registrati i nomi dei falliti. I nomi dei falliti vengono cancellati dal registro a seguito di una sentenza del tribunale. Il fallito è soggetto all'incapacità giuridica fino alla cancellazione del suo nome dal registro. "  </w:t>
      </w:r>
    </w:p>
    <w:p w14:paraId="5094F3B0" w14:textId="77777777" w:rsidR="00E210CB" w:rsidRPr="00E210CB" w:rsidRDefault="00E210CB" w:rsidP="00E210CB">
      <w:pPr>
        <w:jc w:val="both"/>
      </w:pPr>
      <w:r w:rsidRPr="00E210CB">
        <w:rPr>
          <w:b/>
          <w:bCs/>
        </w:rPr>
        <w:t> </w:t>
      </w:r>
    </w:p>
    <w:p w14:paraId="7D55759C" w14:textId="77777777" w:rsidR="00E210CB" w:rsidRPr="00E210CB" w:rsidRDefault="00E210CB" w:rsidP="00E210CB">
      <w:pPr>
        <w:jc w:val="both"/>
      </w:pPr>
      <w:r w:rsidRPr="00E210CB">
        <w:rPr>
          <w:b/>
          <w:bCs/>
        </w:rPr>
        <w:t>Articolo 119</w:t>
      </w:r>
    </w:p>
    <w:p w14:paraId="528DD73C" w14:textId="77777777" w:rsidR="00E210CB" w:rsidRPr="00E210CB" w:rsidRDefault="00E210CB" w:rsidP="00E210CB">
      <w:pPr>
        <w:jc w:val="both"/>
      </w:pPr>
      <w:r w:rsidRPr="00E210CB">
        <w:t> </w:t>
      </w:r>
    </w:p>
    <w:p w14:paraId="2686F27D" w14:textId="77777777" w:rsidR="00E210CB" w:rsidRPr="00E210CB" w:rsidRDefault="00E210CB" w:rsidP="00E210CB">
      <w:pPr>
        <w:jc w:val="both"/>
      </w:pPr>
      <w:r w:rsidRPr="00E210CB">
        <w:t>" La procedura fallimentare si chiude con sentenza motivata del tribunale (...) </w:t>
      </w:r>
    </w:p>
    <w:p w14:paraId="22116926" w14:textId="77777777" w:rsidR="00E210CB" w:rsidRPr="00E210CB" w:rsidRDefault="00E210CB" w:rsidP="00E210CB">
      <w:pPr>
        <w:jc w:val="both"/>
      </w:pPr>
      <w:r w:rsidRPr="00E210CB">
        <w:t xml:space="preserve">La presente decisione può essere impugnata in Corte d'appello entro quindici giorni dalla sua pubblicazione in tribunale </w:t>
      </w:r>
      <w:proofErr w:type="gramStart"/>
      <w:r w:rsidRPr="00E210CB">
        <w:t>(...) »</w:t>
      </w:r>
      <w:proofErr w:type="gramEnd"/>
      <w:r w:rsidRPr="00E210CB">
        <w:t> </w:t>
      </w:r>
    </w:p>
    <w:p w14:paraId="1E1FB061" w14:textId="77777777" w:rsidR="00E210CB" w:rsidRPr="00E210CB" w:rsidRDefault="00E210CB" w:rsidP="00E210CB">
      <w:pPr>
        <w:jc w:val="both"/>
      </w:pPr>
      <w:r w:rsidRPr="00E210CB">
        <w:rPr>
          <w:b/>
          <w:bCs/>
        </w:rPr>
        <w:t>Articolo 143</w:t>
      </w:r>
    </w:p>
    <w:p w14:paraId="5F77C418" w14:textId="77777777" w:rsidR="00E210CB" w:rsidRPr="00E210CB" w:rsidRDefault="00E210CB" w:rsidP="00E210CB">
      <w:pPr>
        <w:jc w:val="both"/>
      </w:pPr>
      <w:r w:rsidRPr="00E210CB">
        <w:t xml:space="preserve">" La riabilitazione può essere concessa al </w:t>
      </w:r>
      <w:proofErr w:type="gramStart"/>
      <w:r w:rsidRPr="00E210CB">
        <w:t>fallito :</w:t>
      </w:r>
      <w:proofErr w:type="gramEnd"/>
      <w:r w:rsidRPr="00E210CB">
        <w:t xml:space="preserve"> "  </w:t>
      </w:r>
    </w:p>
    <w:p w14:paraId="10AAA9DC" w14:textId="77777777" w:rsidR="00E210CB" w:rsidRPr="00E210CB" w:rsidRDefault="00E210CB" w:rsidP="00E210CB">
      <w:pPr>
        <w:jc w:val="both"/>
      </w:pPr>
      <w:r w:rsidRPr="00E210CB">
        <w:lastRenderedPageBreak/>
        <w:t xml:space="preserve">1)     avendo pagato integralmente i crediti ammessi al fallimento, compresi gli interessi e le </w:t>
      </w:r>
      <w:proofErr w:type="gramStart"/>
      <w:r w:rsidRPr="00E210CB">
        <w:t>spese ;</w:t>
      </w:r>
      <w:proofErr w:type="gramEnd"/>
      <w:r w:rsidRPr="00E210CB">
        <w:t> </w:t>
      </w:r>
    </w:p>
    <w:p w14:paraId="7E4307ED" w14:textId="77777777" w:rsidR="00E210CB" w:rsidRPr="00E210CB" w:rsidRDefault="00E210CB" w:rsidP="00E210CB">
      <w:pPr>
        <w:jc w:val="both"/>
      </w:pPr>
      <w:r w:rsidRPr="00E210CB">
        <w:t>2)     avendo regolarmente eseguito il concordato fallimentare, il tribunale lo ritiene meritevole </w:t>
      </w:r>
      <w:r w:rsidRPr="00E210CB">
        <w:rPr>
          <w:i/>
          <w:iCs/>
        </w:rPr>
        <w:t>di </w:t>
      </w:r>
      <w:r w:rsidRPr="00E210CB">
        <w:t xml:space="preserve">tale beneficio, tenendo conto delle cause e delle circostanze del fallimento, delle condizioni del concordato e della sua percentuale. La riabilitazione non può essere concessa nel caso in cui la percentuale per i creditori chirografari sia inferiore al venticinque per cento </w:t>
      </w:r>
      <w:proofErr w:type="gramStart"/>
      <w:r w:rsidRPr="00E210CB">
        <w:t>(...) ;</w:t>
      </w:r>
      <w:proofErr w:type="gramEnd"/>
      <w:r w:rsidRPr="00E210CB">
        <w:t> </w:t>
      </w:r>
    </w:p>
    <w:p w14:paraId="6C941957" w14:textId="77777777" w:rsidR="00E210CB" w:rsidRPr="00E210CB" w:rsidRDefault="00E210CB" w:rsidP="00E210CB">
      <w:pPr>
        <w:jc w:val="both"/>
      </w:pPr>
      <w:r w:rsidRPr="00E210CB">
        <w:t xml:space="preserve">3)     aver dimostrato una condotta buona e coerente per almeno cinque anni dopo la chiusura della procedura </w:t>
      </w:r>
      <w:proofErr w:type="gramStart"/>
      <w:r w:rsidRPr="00E210CB">
        <w:t>fallimentare .</w:t>
      </w:r>
      <w:proofErr w:type="gramEnd"/>
      <w:r w:rsidRPr="00E210CB">
        <w:t> </w:t>
      </w:r>
    </w:p>
    <w:p w14:paraId="09B1B6A1" w14:textId="77777777" w:rsidR="00E210CB" w:rsidRPr="00E210CB" w:rsidRDefault="00E210CB" w:rsidP="00E210CB">
      <w:pPr>
        <w:jc w:val="both"/>
      </w:pPr>
      <w:r w:rsidRPr="00E210CB">
        <w:t xml:space="preserve">24. L'articolo </w:t>
      </w:r>
      <w:proofErr w:type="gramStart"/>
      <w:r w:rsidRPr="00E210CB">
        <w:t>2 </w:t>
      </w:r>
      <w:r w:rsidRPr="00E210CB">
        <w:rPr>
          <w:b/>
          <w:bCs/>
        </w:rPr>
        <w:t>,</w:t>
      </w:r>
      <w:proofErr w:type="gramEnd"/>
      <w:r w:rsidRPr="00E210CB">
        <w:rPr>
          <w:b/>
          <w:bCs/>
        </w:rPr>
        <w:t> </w:t>
      </w:r>
      <w:r w:rsidRPr="00E210CB">
        <w:t>comma 1, lettera a) del decreto del Presidente della Repubblica 20 marzo 1967, n. </w:t>
      </w:r>
      <w:proofErr w:type="gramStart"/>
      <w:r w:rsidRPr="00E210CB">
        <w:t>223 ,</w:t>
      </w:r>
      <w:proofErr w:type="gramEnd"/>
      <w:r w:rsidRPr="00E210CB">
        <w:t xml:space="preserve"> modificato dalla legge 16 gennaio 1992, n. </w:t>
      </w:r>
      <w:proofErr w:type="gramStart"/>
      <w:r w:rsidRPr="00E210CB">
        <w:t>15 ,</w:t>
      </w:r>
      <w:proofErr w:type="gramEnd"/>
      <w:r w:rsidRPr="00E210CB">
        <w:t xml:space="preserve"> prevede in sostanza la sospensione dell'esercizio dei diritti elettorali del fallito durante la procedura concorsuale e, comunque, per un periodo non superiore a cinque anni dalla dichiarazione di fallimento.    </w:t>
      </w:r>
    </w:p>
    <w:p w14:paraId="01B7F50A" w14:textId="77777777" w:rsidR="00E210CB" w:rsidRPr="00E210CB" w:rsidRDefault="00E210CB" w:rsidP="00E210CB">
      <w:pPr>
        <w:jc w:val="both"/>
      </w:pPr>
      <w:r w:rsidRPr="00E210CB">
        <w:t>25. Il decreto </w:t>
      </w:r>
      <w:r w:rsidRPr="00E210CB">
        <w:rPr>
          <w:i/>
          <w:iCs/>
        </w:rPr>
        <w:t>legislativo 9 gennaio 2006, </w:t>
      </w:r>
      <w:r w:rsidRPr="00E210CB">
        <w:t>n. </w:t>
      </w:r>
      <w:proofErr w:type="gramStart"/>
      <w:r w:rsidRPr="00E210CB">
        <w:t>5 ,</w:t>
      </w:r>
      <w:proofErr w:type="gramEnd"/>
      <w:r w:rsidRPr="00E210CB">
        <w:t xml:space="preserve"> recante riforma della legge fallimentare, prevede, tra </w:t>
      </w:r>
      <w:proofErr w:type="gramStart"/>
      <w:r w:rsidRPr="00E210CB">
        <w:t>l'altro :</w:t>
      </w:r>
      <w:proofErr w:type="gramEnd"/>
      <w:r w:rsidRPr="00E210CB">
        <w:t>   </w:t>
      </w:r>
    </w:p>
    <w:p w14:paraId="0074D855" w14:textId="77777777" w:rsidR="00E210CB" w:rsidRPr="00E210CB" w:rsidRDefault="00E210CB" w:rsidP="00E210CB">
      <w:pPr>
        <w:jc w:val="both"/>
      </w:pPr>
      <w:proofErr w:type="gramStart"/>
      <w:r w:rsidRPr="00E210CB">
        <w:rPr>
          <w:b/>
          <w:bCs/>
        </w:rPr>
        <w:t>“ Articolo</w:t>
      </w:r>
      <w:proofErr w:type="gramEnd"/>
      <w:r w:rsidRPr="00E210CB">
        <w:rPr>
          <w:b/>
          <w:bCs/>
        </w:rPr>
        <w:t xml:space="preserve"> 45 – Sostituzione dell’articolo 48 del regio decreto 16 marzo 1942, n. </w:t>
      </w:r>
      <w:proofErr w:type="gramStart"/>
      <w:r w:rsidRPr="00E210CB">
        <w:rPr>
          <w:b/>
          <w:bCs/>
        </w:rPr>
        <w:t>267 ”</w:t>
      </w:r>
      <w:proofErr w:type="gramEnd"/>
      <w:r w:rsidRPr="00E210CB">
        <w:rPr>
          <w:b/>
          <w:bCs/>
        </w:rPr>
        <w:t>   </w:t>
      </w:r>
    </w:p>
    <w:p w14:paraId="7F6FD4CA" w14:textId="77777777" w:rsidR="00E210CB" w:rsidRPr="00E210CB" w:rsidRDefault="00E210CB" w:rsidP="00E210CB">
      <w:pPr>
        <w:jc w:val="both"/>
      </w:pPr>
      <w:r w:rsidRPr="00E210CB">
        <w:t xml:space="preserve">L'articolo 48 della legge fallimentare è sostituito dal seguente </w:t>
      </w:r>
      <w:proofErr w:type="gramStart"/>
      <w:r w:rsidRPr="00E210CB">
        <w:t>articolo :</w:t>
      </w:r>
      <w:proofErr w:type="gramEnd"/>
      <w:r w:rsidRPr="00E210CB">
        <w:t> </w:t>
      </w:r>
    </w:p>
    <w:p w14:paraId="00434C8D" w14:textId="77777777" w:rsidR="00E210CB" w:rsidRPr="00E210CB" w:rsidRDefault="00E210CB" w:rsidP="00E210CB">
      <w:pPr>
        <w:jc w:val="both"/>
      </w:pPr>
      <w:proofErr w:type="gramStart"/>
      <w:r w:rsidRPr="00E210CB">
        <w:t>“ Articolo</w:t>
      </w:r>
      <w:proofErr w:type="gramEnd"/>
      <w:r w:rsidRPr="00E210CB">
        <w:t xml:space="preserve"> 48 (corrispondenza indirizzata al fallito</w:t>
      </w:r>
      <w:proofErr w:type="gramStart"/>
      <w:r w:rsidRPr="00E210CB">
        <w:t>) :</w:t>
      </w:r>
      <w:proofErr w:type="gramEnd"/>
      <w:r w:rsidRPr="00E210CB">
        <w:t xml:space="preserve"> L'imprenditore dichiarato fallito, nonché gli amministratori o liquidatori di società o enti sottoposti a procedura concorsuale, sono tenuti a consegnare al curatore tutta la corrispondenza, anche elettronica, relativa ai rapporti patrimoniali </w:t>
      </w:r>
      <w:r w:rsidRPr="00E210CB">
        <w:rPr>
          <w:i/>
          <w:iCs/>
        </w:rPr>
        <w:t>facenti </w:t>
      </w:r>
      <w:r w:rsidRPr="00E210CB">
        <w:t xml:space="preserve">parte del </w:t>
      </w:r>
      <w:proofErr w:type="gramStart"/>
      <w:r w:rsidRPr="00E210CB">
        <w:t>fallimento .</w:t>
      </w:r>
      <w:proofErr w:type="gramEnd"/>
      <w:r w:rsidRPr="00E210CB">
        <w:t>   </w:t>
      </w:r>
    </w:p>
    <w:p w14:paraId="10C8B824" w14:textId="77777777" w:rsidR="00E210CB" w:rsidRPr="00E210CB" w:rsidRDefault="00E210CB" w:rsidP="00E210CB">
      <w:pPr>
        <w:jc w:val="both"/>
      </w:pPr>
      <w:r w:rsidRPr="00E210CB">
        <w:rPr>
          <w:b/>
          <w:bCs/>
        </w:rPr>
        <w:t>Articolo 46 – Sostituzione dell’articolo 49 del regio decreto 16 marzo </w:t>
      </w:r>
      <w:proofErr w:type="gramStart"/>
      <w:r w:rsidRPr="00E210CB">
        <w:rPr>
          <w:b/>
          <w:bCs/>
        </w:rPr>
        <w:t>1942 ,</w:t>
      </w:r>
      <w:proofErr w:type="gramEnd"/>
      <w:r w:rsidRPr="00E210CB">
        <w:rPr>
          <w:b/>
          <w:bCs/>
        </w:rPr>
        <w:t xml:space="preserve"> n. 267  </w:t>
      </w:r>
    </w:p>
    <w:p w14:paraId="448A56B5" w14:textId="77777777" w:rsidR="00E210CB" w:rsidRPr="00E210CB" w:rsidRDefault="00E210CB" w:rsidP="00E210CB">
      <w:pPr>
        <w:jc w:val="both"/>
      </w:pPr>
      <w:r w:rsidRPr="00E210CB">
        <w:t xml:space="preserve">L'articolo 49 della legge fallimentare è sostituito dal seguente </w:t>
      </w:r>
      <w:proofErr w:type="gramStart"/>
      <w:r w:rsidRPr="00E210CB">
        <w:t>articolo :</w:t>
      </w:r>
      <w:proofErr w:type="gramEnd"/>
      <w:r w:rsidRPr="00E210CB">
        <w:t> </w:t>
      </w:r>
    </w:p>
    <w:p w14:paraId="0A2D3DE4" w14:textId="77777777" w:rsidR="00E210CB" w:rsidRPr="00E210CB" w:rsidRDefault="00E210CB" w:rsidP="00E210CB">
      <w:pPr>
        <w:jc w:val="both"/>
      </w:pPr>
      <w:r w:rsidRPr="00E210CB">
        <w:t>" Articolo 49 (Obblighi del fallito</w:t>
      </w:r>
      <w:proofErr w:type="gramStart"/>
      <w:r w:rsidRPr="00E210CB">
        <w:t>) :</w:t>
      </w:r>
      <w:proofErr w:type="gramEnd"/>
      <w:r w:rsidRPr="00E210CB">
        <w:t xml:space="preserve"> L'imprenditore dichiarato fallito, nonché gli amministratori o liquidatori di società o enti che siano stati sottoposti a procedura concorsuale, sono tenuti a comunicare al curatore ogni cambiamento della propria residenza o del proprio domicilio.  </w:t>
      </w:r>
    </w:p>
    <w:p w14:paraId="04AC0908" w14:textId="77777777" w:rsidR="00E210CB" w:rsidRPr="00E210CB" w:rsidRDefault="00E210CB" w:rsidP="00E210CB">
      <w:pPr>
        <w:jc w:val="both"/>
      </w:pPr>
      <w:r w:rsidRPr="00E210CB">
        <w:t>Qualora siano necessarie informazioni o chiarimenti per la gestione della procedura, i soggetti sopra indicati dovranno presentarsi al giudice delegato, al curatore o al comitato dei creditori.</w:t>
      </w:r>
    </w:p>
    <w:p w14:paraId="56E32A08" w14:textId="77777777" w:rsidR="00E210CB" w:rsidRPr="00E210CB" w:rsidRDefault="00E210CB" w:rsidP="00E210CB">
      <w:pPr>
        <w:jc w:val="both"/>
      </w:pPr>
      <w:r w:rsidRPr="00E210CB">
        <w:t xml:space="preserve">In caso di impedimento, il giudice può autorizzare l'imprenditore o il rappresentante legale della società o dell'ente sottoposto a fallimento a comparire tramite un </w:t>
      </w:r>
      <w:proofErr w:type="gramStart"/>
      <w:r w:rsidRPr="00E210CB">
        <w:t>mandatario .</w:t>
      </w:r>
      <w:proofErr w:type="gramEnd"/>
      <w:r w:rsidRPr="00E210CB">
        <w:t> </w:t>
      </w:r>
    </w:p>
    <w:p w14:paraId="4C6384C9" w14:textId="77777777" w:rsidR="00E210CB" w:rsidRPr="00E210CB" w:rsidRDefault="00E210CB" w:rsidP="00E210CB">
      <w:pPr>
        <w:jc w:val="both"/>
      </w:pPr>
      <w:r w:rsidRPr="00E210CB">
        <w:rPr>
          <w:b/>
          <w:bCs/>
        </w:rPr>
        <w:t>Articolo 47 – Abrogazione dell’articolo 50 del regio decreto 16 marzo </w:t>
      </w:r>
      <w:proofErr w:type="gramStart"/>
      <w:r w:rsidRPr="00E210CB">
        <w:rPr>
          <w:b/>
          <w:bCs/>
        </w:rPr>
        <w:t>1942 ,</w:t>
      </w:r>
      <w:proofErr w:type="gramEnd"/>
      <w:r w:rsidRPr="00E210CB">
        <w:rPr>
          <w:b/>
          <w:bCs/>
        </w:rPr>
        <w:t xml:space="preserve"> n. 267  </w:t>
      </w:r>
    </w:p>
    <w:p w14:paraId="4C300310" w14:textId="77777777" w:rsidR="00E210CB" w:rsidRPr="00E210CB" w:rsidRDefault="00E210CB" w:rsidP="00E210CB">
      <w:pPr>
        <w:jc w:val="both"/>
      </w:pPr>
      <w:r w:rsidRPr="00E210CB">
        <w:t>L'articolo 50 del regio decreto 16 marzo 1942, n. 267, è abrogato.  </w:t>
      </w:r>
    </w:p>
    <w:p w14:paraId="35B66209" w14:textId="77777777" w:rsidR="00E210CB" w:rsidRPr="00E210CB" w:rsidRDefault="00E210CB" w:rsidP="00E210CB">
      <w:pPr>
        <w:jc w:val="both"/>
      </w:pPr>
      <w:r w:rsidRPr="00E210CB">
        <w:rPr>
          <w:b/>
          <w:bCs/>
        </w:rPr>
        <w:t>Articolo 152 - Abrogazione delle norme sulle limitazioni personali del fallito</w:t>
      </w:r>
    </w:p>
    <w:p w14:paraId="7C0D94B1" w14:textId="77777777" w:rsidR="00E210CB" w:rsidRPr="00E210CB" w:rsidRDefault="00E210CB" w:rsidP="00E210CB">
      <w:pPr>
        <w:jc w:val="both"/>
      </w:pPr>
      <w:r w:rsidRPr="00E210CB">
        <w:t xml:space="preserve">Sono abrogati i seguenti </w:t>
      </w:r>
      <w:proofErr w:type="gramStart"/>
      <w:r w:rsidRPr="00E210CB">
        <w:t>standard :</w:t>
      </w:r>
      <w:proofErr w:type="gramEnd"/>
      <w:r w:rsidRPr="00E210CB">
        <w:t> </w:t>
      </w:r>
    </w:p>
    <w:p w14:paraId="300E52F9" w14:textId="77777777" w:rsidR="00E210CB" w:rsidRPr="00E210CB" w:rsidRDefault="00E210CB" w:rsidP="00E210CB">
      <w:pPr>
        <w:jc w:val="both"/>
      </w:pPr>
      <w:r w:rsidRPr="00E210CB">
        <w:lastRenderedPageBreak/>
        <w:t>a) l'articolo 2, comma 1, lettera a) del decreto del Presidente della Repubblica 20 marzo </w:t>
      </w:r>
      <w:proofErr w:type="gramStart"/>
      <w:r w:rsidRPr="00E210CB">
        <w:t>1967 ,</w:t>
      </w:r>
      <w:proofErr w:type="gramEnd"/>
      <w:r w:rsidRPr="00E210CB">
        <w:t xml:space="preserve"> </w:t>
      </w:r>
      <w:proofErr w:type="gramStart"/>
      <w:r w:rsidRPr="00E210CB">
        <w:t>n .</w:t>
      </w:r>
      <w:proofErr w:type="gramEnd"/>
      <w:r w:rsidRPr="00E210CB">
        <w:t> </w:t>
      </w:r>
      <w:proofErr w:type="gramStart"/>
      <w:r w:rsidRPr="00E210CB">
        <w:t>223 ;</w:t>
      </w:r>
      <w:proofErr w:type="gramEnd"/>
      <w:r w:rsidRPr="00E210CB">
        <w:t>   </w:t>
      </w:r>
    </w:p>
    <w:p w14:paraId="3091D9EC" w14:textId="77777777" w:rsidR="00E210CB" w:rsidRPr="00E210CB" w:rsidRDefault="00E210CB" w:rsidP="00E210CB">
      <w:pPr>
        <w:jc w:val="both"/>
      </w:pPr>
      <w:r w:rsidRPr="00E210CB">
        <w:br/>
        <w:t>(...) .»</w:t>
      </w:r>
    </w:p>
    <w:p w14:paraId="666206CD" w14:textId="77777777" w:rsidR="00E210CB" w:rsidRPr="00E210CB" w:rsidRDefault="00E210CB" w:rsidP="00E210CB">
      <w:pPr>
        <w:jc w:val="both"/>
      </w:pPr>
      <w:r w:rsidRPr="00E210CB">
        <w:rPr>
          <w:b/>
          <w:bCs/>
        </w:rPr>
        <w:t> </w:t>
      </w:r>
    </w:p>
    <w:p w14:paraId="59ABDF08" w14:textId="77777777" w:rsidR="00E210CB" w:rsidRPr="00E210CB" w:rsidRDefault="00E210CB" w:rsidP="00E210CB">
      <w:pPr>
        <w:jc w:val="both"/>
      </w:pPr>
      <w:r w:rsidRPr="00E210CB">
        <w:t>26. Secondo la dottrina giuridica, l'istituto del fallimento ha avuto origine nel tardo Medioevo (XIII </w:t>
      </w:r>
      <w:proofErr w:type="gramStart"/>
      <w:r w:rsidRPr="00E210CB">
        <w:t>secolo )</w:t>
      </w:r>
      <w:proofErr w:type="gramEnd"/>
      <w:r w:rsidRPr="00E210CB">
        <w:t>, un'epoca in cui il mercante (cioè, in senso lato, il commerciante, l'imprenditore, il banchiere) era al centro di una nuova classe sociale. In questo contesto, in cui l'interesse pubblico talvolta coincideva con quello della classe mercantile, il fallimento aveva lo scopo di imporre forti rimedi ai mercanti insolventi. Pertanto, il fallito era soggetto a sanzioni penali (come l'esilio, l'arresto e, talvolta, la tortura o la pena di morte) o civili come l'inclusione del suo nome in un registro, l'applicazione di marchi infamanti (come l'indossare un basco verde), la perdita della cittadinanza e altre incapacità (A. Jorio, </w:t>
      </w:r>
      <w:r w:rsidRPr="00E210CB">
        <w:rPr>
          <w:i/>
          <w:iCs/>
        </w:rPr>
        <w:t xml:space="preserve">La crisi d'impresa, il </w:t>
      </w:r>
      <w:proofErr w:type="gramStart"/>
      <w:r w:rsidRPr="00E210CB">
        <w:rPr>
          <w:i/>
          <w:iCs/>
        </w:rPr>
        <w:t>fallimento </w:t>
      </w:r>
      <w:r w:rsidRPr="00E210CB">
        <w:t>,</w:t>
      </w:r>
      <w:proofErr w:type="gramEnd"/>
      <w:r w:rsidRPr="00E210CB">
        <w:t xml:space="preserve"> ed. Giuffré, 2000, </w:t>
      </w:r>
      <w:proofErr w:type="gramStart"/>
      <w:r w:rsidRPr="00E210CB">
        <w:t>p .</w:t>
      </w:r>
      <w:proofErr w:type="gramEnd"/>
      <w:r w:rsidRPr="00E210CB">
        <w:t> </w:t>
      </w:r>
      <w:proofErr w:type="gramStart"/>
      <w:r w:rsidRPr="00E210CB">
        <w:rPr>
          <w:i/>
          <w:iCs/>
        </w:rPr>
        <w:t>364 </w:t>
      </w:r>
      <w:r w:rsidRPr="00E210CB">
        <w:t>;</w:t>
      </w:r>
      <w:proofErr w:type="gramEnd"/>
      <w:r w:rsidRPr="00E210CB">
        <w:t>   </w:t>
      </w:r>
    </w:p>
    <w:p w14:paraId="319819B6" w14:textId="77777777" w:rsidR="00E210CB" w:rsidRPr="00E210CB" w:rsidRDefault="00E210CB" w:rsidP="00E210CB">
      <w:pPr>
        <w:jc w:val="both"/>
      </w:pPr>
      <w:r w:rsidRPr="00E210CB">
        <w:t>POSTO</w:t>
      </w:r>
    </w:p>
    <w:p w14:paraId="331F32DC" w14:textId="77777777" w:rsidR="00E210CB" w:rsidRPr="00E210CB" w:rsidRDefault="00E210CB" w:rsidP="00E210CB">
      <w:pPr>
        <w:jc w:val="both"/>
      </w:pPr>
      <w:r w:rsidRPr="00E210CB">
        <w:t>I. SULLA PRESUNTA VIOLAZIONE DEGLI ARTICOLI 8 DELLA CONVENZIONE, RELATIVI AL DIRITTO AL RISPETTO DELLA CORRISPONDENZA, 1 DEL PROTOCOLLO N. 1 E 2 DEL PROTOCOLLO N. 4  </w:t>
      </w:r>
    </w:p>
    <w:p w14:paraId="4EEEF04C" w14:textId="77777777" w:rsidR="00E210CB" w:rsidRPr="00E210CB" w:rsidRDefault="00E210CB" w:rsidP="00E210CB">
      <w:pPr>
        <w:jc w:val="both"/>
      </w:pPr>
      <w:r w:rsidRPr="00E210CB">
        <w:t>27. Invocando gli articoli 8 della Convenzione, 1 del Protocollo n. 1 e 2 del Protocollo n. </w:t>
      </w:r>
      <w:proofErr w:type="gramStart"/>
      <w:r w:rsidRPr="00E210CB">
        <w:t>4 ,</w:t>
      </w:r>
      <w:proofErr w:type="gramEnd"/>
      <w:r w:rsidRPr="00E210CB">
        <w:t xml:space="preserve"> il ricorrente lamenta rispettivamente una violazione del suo diritto al rispetto della sua corrispondenza, dei suoi beni e una limitazione della sua libertà di circolazione, in particolare a causa della durata del procedimento.  </w:t>
      </w:r>
    </w:p>
    <w:p w14:paraId="3F856D4D" w14:textId="77777777" w:rsidR="00E210CB" w:rsidRPr="00E210CB" w:rsidRDefault="00E210CB" w:rsidP="00E210CB">
      <w:pPr>
        <w:jc w:val="both"/>
      </w:pPr>
      <w:r w:rsidRPr="00E210CB">
        <w:t xml:space="preserve">28. Questi articoli sono formulati come </w:t>
      </w:r>
      <w:proofErr w:type="gramStart"/>
      <w:r w:rsidRPr="00E210CB">
        <w:t>segue :</w:t>
      </w:r>
      <w:proofErr w:type="gramEnd"/>
      <w:r w:rsidRPr="00E210CB">
        <w:t>   </w:t>
      </w:r>
    </w:p>
    <w:p w14:paraId="7CBEE6B4" w14:textId="77777777" w:rsidR="00E210CB" w:rsidRPr="00E210CB" w:rsidRDefault="00E210CB" w:rsidP="00E210CB">
      <w:pPr>
        <w:jc w:val="both"/>
      </w:pPr>
      <w:r w:rsidRPr="00E210CB">
        <w:rPr>
          <w:b/>
          <w:bCs/>
        </w:rPr>
        <w:t>Articolo 8 della Convenzione</w:t>
      </w:r>
    </w:p>
    <w:p w14:paraId="42A58F63" w14:textId="77777777" w:rsidR="00E210CB" w:rsidRPr="00E210CB" w:rsidRDefault="00E210CB" w:rsidP="00E210CB">
      <w:pPr>
        <w:jc w:val="both"/>
      </w:pPr>
      <w:r w:rsidRPr="00E210CB">
        <w:t>" 1. Ogni individuo ha diritto al rispetto della propria (...) corrispondenza.   </w:t>
      </w:r>
    </w:p>
    <w:p w14:paraId="647A9684" w14:textId="77777777" w:rsidR="00E210CB" w:rsidRPr="00E210CB" w:rsidRDefault="00E210CB" w:rsidP="00E210CB">
      <w:pPr>
        <w:jc w:val="both"/>
      </w:pPr>
      <w:r w:rsidRPr="00E210CB">
        <w:t xml:space="preserve">2. Non può esservi ingerenza di un'autorità pubblica nell'esercizio di questo diritto, a meno che tale ingerenza sia prevista dalla legge e costituisca una misura necessaria, in una società democratica, alla sicurezza nazionale, alla pubblica sicurezza, al benessere economico del paese, alla difesa dell'ordine e alla prevenzione dei reati, alla protezione della salute o della morale, o alla protezione dei diritti e delle libertà </w:t>
      </w:r>
      <w:proofErr w:type="gramStart"/>
      <w:r w:rsidRPr="00E210CB">
        <w:t>altrui .</w:t>
      </w:r>
      <w:proofErr w:type="gramEnd"/>
      <w:r w:rsidRPr="00E210CB">
        <w:t>   </w:t>
      </w:r>
    </w:p>
    <w:p w14:paraId="4DED1FB7" w14:textId="77777777" w:rsidR="00E210CB" w:rsidRPr="00E210CB" w:rsidRDefault="00E210CB" w:rsidP="00E210CB">
      <w:pPr>
        <w:jc w:val="both"/>
      </w:pPr>
      <w:r w:rsidRPr="00E210CB">
        <w:rPr>
          <w:b/>
          <w:bCs/>
        </w:rPr>
        <w:t>Articolo 1 del Protocollo n. 1</w:t>
      </w:r>
    </w:p>
    <w:p w14:paraId="1CE6A08D" w14:textId="77777777" w:rsidR="00E210CB" w:rsidRPr="00E210CB" w:rsidRDefault="00E210CB" w:rsidP="00E210CB">
      <w:pPr>
        <w:jc w:val="both"/>
      </w:pPr>
      <w:proofErr w:type="gramStart"/>
      <w:r w:rsidRPr="00E210CB">
        <w:t>“ Ogni</w:t>
      </w:r>
      <w:proofErr w:type="gramEnd"/>
      <w:r w:rsidRPr="00E210CB">
        <w:t xml:space="preserve"> persona fisica o giuridica ha diritto al rispetto della propria proprietà. Nessuno può essere privato della propria proprietà se non per motivi di pubblica utilità e nelle condizioni previste dalla legge e dai principi generali del diritto internazionale.” </w:t>
      </w:r>
    </w:p>
    <w:p w14:paraId="56A9F85E" w14:textId="77777777" w:rsidR="00E210CB" w:rsidRPr="00E210CB" w:rsidRDefault="00E210CB" w:rsidP="00E210CB">
      <w:pPr>
        <w:jc w:val="both"/>
      </w:pPr>
      <w:r w:rsidRPr="00E210CB">
        <w:t xml:space="preserve">Le disposizioni precedenti non pregiudicano il diritto degli Stati di far rispettare le leggi che ritengono necessarie per regolare l'uso dei beni in conformità all'interesse generale o per garantire il pagamento delle imposte o di altri contributi o </w:t>
      </w:r>
      <w:proofErr w:type="gramStart"/>
      <w:r w:rsidRPr="00E210CB">
        <w:t>sanzioni .</w:t>
      </w:r>
      <w:proofErr w:type="gramEnd"/>
      <w:r w:rsidRPr="00E210CB">
        <w:t> </w:t>
      </w:r>
    </w:p>
    <w:p w14:paraId="51AA225D" w14:textId="77777777" w:rsidR="00E210CB" w:rsidRPr="00E210CB" w:rsidRDefault="00E210CB" w:rsidP="00E210CB">
      <w:pPr>
        <w:jc w:val="both"/>
      </w:pPr>
      <w:r w:rsidRPr="00E210CB">
        <w:rPr>
          <w:b/>
          <w:bCs/>
        </w:rPr>
        <w:lastRenderedPageBreak/>
        <w:t>Articolo 2 del Protocollo n. 4</w:t>
      </w:r>
    </w:p>
    <w:p w14:paraId="06F51910" w14:textId="77777777" w:rsidR="00E210CB" w:rsidRPr="00E210CB" w:rsidRDefault="00E210CB" w:rsidP="00E210CB">
      <w:pPr>
        <w:jc w:val="both"/>
      </w:pPr>
      <w:r w:rsidRPr="00E210CB">
        <w:t>" 1. Chiunque si trovi legalmente nel territorio di uno Stato ha il diritto di circolare liberamente al suo interno e di scegliere liberamente la propria residenza.   </w:t>
      </w:r>
    </w:p>
    <w:p w14:paraId="03CF3509" w14:textId="77777777" w:rsidR="00E210CB" w:rsidRPr="00E210CB" w:rsidRDefault="00E210CB" w:rsidP="00E210CB">
      <w:pPr>
        <w:jc w:val="both"/>
      </w:pPr>
      <w:r w:rsidRPr="00E210CB">
        <w:t>2. Tutti sono liberi di lasciare qualsiasi Paese, compreso il proprio.  </w:t>
      </w:r>
    </w:p>
    <w:p w14:paraId="3F3252EA" w14:textId="77777777" w:rsidR="00E210CB" w:rsidRPr="00E210CB" w:rsidRDefault="00E210CB" w:rsidP="00E210CB">
      <w:pPr>
        <w:jc w:val="both"/>
      </w:pPr>
      <w:r w:rsidRPr="00E210CB">
        <w:t>3. L'esercizio di questi diritti non può essere sottoposto ad altre restrizioni se non quelle che sono stabilite dalla legge e che costituiscono misure necessarie, in una società democratica, alla sicurezza nazionale, alla sicurezza pubblica, al mantenimento dell'ordine pubblico, alla prevenzione dei reati, alla protezione della salute o della morale, o alla protezione dei diritti e delle libertà altrui.  </w:t>
      </w:r>
    </w:p>
    <w:p w14:paraId="08A3C124" w14:textId="77777777" w:rsidR="00E210CB" w:rsidRPr="00E210CB" w:rsidRDefault="00E210CB" w:rsidP="00E210CB">
      <w:pPr>
        <w:jc w:val="both"/>
      </w:pPr>
      <w:r w:rsidRPr="00E210CB">
        <w:t>29. Il Governo sostiene, in primo luogo, che il ricorrente non ha esaurito i ricorsi interni. Infatti, le censure da lui sollevate riguardano la durata del procedimento. Il ricorrente avrebbe pertanto dovuto presentare ricorso dinanzi alla Corte d'Appello competente, ai sensi della Legge Pinto.  </w:t>
      </w:r>
    </w:p>
    <w:p w14:paraId="0D35254C" w14:textId="77777777" w:rsidR="00E210CB" w:rsidRPr="00E210CB" w:rsidRDefault="00E210CB" w:rsidP="00E210CB">
      <w:pPr>
        <w:jc w:val="both"/>
      </w:pPr>
      <w:r w:rsidRPr="00E210CB">
        <w:t>30. Il Governo ritiene inoltre che, nella sentenza n. 362 del 2003, la Corte di Cassazione, confermando una decisione della Corte d'Appello di Venezia relativa a un ricorso proposto ai sensi della Legge Pinto in merito alla durata della procedura fallimentare, abbia affermato che " il danno morale deriva dal disagio del ricorrente dovuto al prolungamento, oltre il termine ragionevole della procedura, dello stato di fallimento e delle connesse limitazioni alla libertà di circolazione, al diritto di voto e alla possibilità di esercitare libere professioni. La valutazione di tale danno può essere effettuata solo attraverso una valutazione equa che tenga conto, oltre che della durata della procedura, della natura specifica dei diritti individuali in tutto o in parte lesi ".    </w:t>
      </w:r>
    </w:p>
    <w:p w14:paraId="4AE49652" w14:textId="77777777" w:rsidR="00E210CB" w:rsidRPr="00E210CB" w:rsidRDefault="00E210CB" w:rsidP="00E210CB">
      <w:pPr>
        <w:jc w:val="both"/>
      </w:pPr>
      <w:r w:rsidRPr="00E210CB">
        <w:t>31. Il Governo osserva inoltre che, nel caso di specie, il tribunale ha dichiarato contemporaneamente il fallimento di tre diverse società e di due soci. Il curatore fallimentare ha quindi dovuto gestire cinque distinti patrimoni. Sono state inoltre presentate numerose domande di ammissione al passivo fallimentare, con conseguente notevole carico di lavoro per gli organi fallimentari. Inoltre, nel corso della procedura, tre immobili sono stati venduti all'asta e sono stati effettuati cinque tentativi di vendita. Infine, la redazione del piano di ripartizione fallimentare si è rivelata estremamente complessa.  </w:t>
      </w:r>
    </w:p>
    <w:p w14:paraId="3E67AD18" w14:textId="77777777" w:rsidR="00E210CB" w:rsidRPr="00E210CB" w:rsidRDefault="00E210CB" w:rsidP="00E210CB">
      <w:pPr>
        <w:jc w:val="both"/>
      </w:pPr>
      <w:r w:rsidRPr="00E210CB">
        <w:t>32. Il ricorrente sostiene che le osservazioni del Governo sono state presentate tardivamente, in violazione dell'articolo 38 del Regolamento della Corte.  </w:t>
      </w:r>
    </w:p>
    <w:p w14:paraId="2A683B60" w14:textId="77777777" w:rsidR="00E210CB" w:rsidRPr="00E210CB" w:rsidRDefault="00E210CB" w:rsidP="00E210CB">
      <w:pPr>
        <w:jc w:val="both"/>
      </w:pPr>
      <w:r w:rsidRPr="00E210CB">
        <w:t>33. Egli ritiene poi che la richiesta non riguardi la durata del procedimento, bensì la mancanza di proporzionalità dell'ingerenza dello Stato nel suo diritto al rispetto della sua corrispondenza e dei suoi beni, nonché nella sua libertà di movimento, in particolare a causa del procedimento.  </w:t>
      </w:r>
    </w:p>
    <w:p w14:paraId="7BBA9A8D" w14:textId="77777777" w:rsidR="00E210CB" w:rsidRPr="00E210CB" w:rsidRDefault="00E210CB" w:rsidP="00E210CB">
      <w:pPr>
        <w:jc w:val="both"/>
      </w:pPr>
      <w:r w:rsidRPr="00E210CB">
        <w:t>34. La Corte rileva anzitutto di aver inizialmente fissato al 6 agosto 2004 il termine per la presentazione delle osservazioni del Governo. Successivamente, su richiesta del Governo, tale termine è stato prorogato fino al 17 settembre 2004, data di trasmissione delle osservazioni del Governo.    </w:t>
      </w:r>
    </w:p>
    <w:p w14:paraId="40C81AC5" w14:textId="77777777" w:rsidR="00E210CB" w:rsidRPr="00E210CB" w:rsidRDefault="00E210CB" w:rsidP="00E210CB">
      <w:pPr>
        <w:jc w:val="both"/>
      </w:pPr>
      <w:r w:rsidRPr="00E210CB">
        <w:t xml:space="preserve">35. Rileva poi che, nella sentenza </w:t>
      </w:r>
      <w:proofErr w:type="gramStart"/>
      <w:r w:rsidRPr="00E210CB">
        <w:t>n .</w:t>
      </w:r>
      <w:proofErr w:type="gramEnd"/>
      <w:r w:rsidRPr="00E210CB">
        <w:t xml:space="preserve"> 362 del 2003, depositata il 14 gennaio 2003, la </w:t>
      </w:r>
      <w:proofErr w:type="gramStart"/>
      <w:r w:rsidRPr="00E210CB">
        <w:t>Corte di Cassazione</w:t>
      </w:r>
      <w:proofErr w:type="gramEnd"/>
      <w:r w:rsidRPr="00E210CB">
        <w:t xml:space="preserve"> ha riconosciuto per la prima volta che il risarcimento morale relativo alla durata della </w:t>
      </w:r>
      <w:r w:rsidRPr="00E210CB">
        <w:lastRenderedPageBreak/>
        <w:t>procedura concorsuale deve tener conto, tra l'altro, del prolungamento delle incapacità derivanti dallo stato di fallito.   </w:t>
      </w:r>
    </w:p>
    <w:p w14:paraId="57B7C1AB" w14:textId="77777777" w:rsidR="00E210CB" w:rsidRPr="00E210CB" w:rsidRDefault="00E210CB" w:rsidP="00E210CB">
      <w:pPr>
        <w:jc w:val="both"/>
      </w:pPr>
      <w:r w:rsidRPr="00E210CB">
        <w:t>36. Inoltre, per quanto riguarda la doglianza relativa all'articolo 1 del Protocollo n. </w:t>
      </w:r>
      <w:proofErr w:type="gramStart"/>
      <w:r w:rsidRPr="00E210CB">
        <w:t>1 ,</w:t>
      </w:r>
      <w:proofErr w:type="gramEnd"/>
      <w:r w:rsidRPr="00E210CB">
        <w:t xml:space="preserve"> la Corte ricorda che nel caso </w:t>
      </w:r>
      <w:r w:rsidRPr="00E210CB">
        <w:rPr>
          <w:i/>
          <w:iCs/>
        </w:rPr>
        <w:t>Mascolo c. Italia </w:t>
      </w:r>
      <w:r w:rsidRPr="00E210CB">
        <w:t>(</w:t>
      </w:r>
      <w:proofErr w:type="spellStart"/>
      <w:r w:rsidRPr="00E210CB">
        <w:t>dec</w:t>
      </w:r>
      <w:proofErr w:type="spellEnd"/>
      <w:r w:rsidRPr="00E210CB">
        <w:t xml:space="preserve">., </w:t>
      </w:r>
      <w:proofErr w:type="gramStart"/>
      <w:r w:rsidRPr="00E210CB">
        <w:t>n .</w:t>
      </w:r>
      <w:proofErr w:type="gramEnd"/>
      <w:r w:rsidRPr="00E210CB">
        <w:t> </w:t>
      </w:r>
      <w:hyperlink r:id="rId8" w:anchor="{%22appno%22:[%2268792/01%22]}" w:tgtFrame="_blank" w:history="1">
        <w:r w:rsidRPr="00E210CB">
          <w:rPr>
            <w:rStyle w:val="Collegamentoipertestuale"/>
          </w:rPr>
          <w:t>68792/01</w:t>
        </w:r>
      </w:hyperlink>
      <w:r w:rsidRPr="00E210CB">
        <w:t xml:space="preserve"> , 16 ottobre 2003) ha ritenuto che la violazione del diritto di proprietà fosse </w:t>
      </w:r>
      <w:proofErr w:type="gramStart"/>
      <w:r w:rsidRPr="00E210CB">
        <w:t>“ strettamente</w:t>
      </w:r>
      <w:proofErr w:type="gramEnd"/>
      <w:r w:rsidRPr="00E210CB">
        <w:t xml:space="preserve"> legata alla durata del procedimento, di cui costituisce una conseguenza </w:t>
      </w:r>
      <w:proofErr w:type="gramStart"/>
      <w:r w:rsidRPr="00E210CB">
        <w:t>indiretta ”</w:t>
      </w:r>
      <w:proofErr w:type="gramEnd"/>
      <w:r w:rsidRPr="00E210CB">
        <w:t xml:space="preserve"> e che era quindi </w:t>
      </w:r>
      <w:proofErr w:type="gramStart"/>
      <w:r w:rsidRPr="00E210CB">
        <w:t>“ probabilmente</w:t>
      </w:r>
      <w:proofErr w:type="gramEnd"/>
      <w:r w:rsidRPr="00E210CB">
        <w:t xml:space="preserve"> nell'ambito dello stesso ricorso previsto dalla legge Pinto che i ricorrenti potevano far valere le loro pretese relative alle ripercussioni finanziarie che l'eccessiva durata del procedimento aveva sul loro diritto di </w:t>
      </w:r>
      <w:proofErr w:type="gramStart"/>
      <w:r w:rsidRPr="00E210CB">
        <w:t>proprietà ”</w:t>
      </w:r>
      <w:proofErr w:type="gramEnd"/>
      <w:r w:rsidRPr="00E210CB">
        <w:t>. Inoltre, nel caso </w:t>
      </w:r>
      <w:r w:rsidRPr="00E210CB">
        <w:rPr>
          <w:i/>
          <w:iCs/>
        </w:rPr>
        <w:t>Provvedi c. Italia </w:t>
      </w:r>
      <w:r w:rsidRPr="00E210CB">
        <w:t>(</w:t>
      </w:r>
      <w:proofErr w:type="spellStart"/>
      <w:r w:rsidRPr="00E210CB">
        <w:t>dec</w:t>
      </w:r>
      <w:proofErr w:type="spellEnd"/>
      <w:r w:rsidRPr="00E210CB">
        <w:t xml:space="preserve">., </w:t>
      </w:r>
      <w:proofErr w:type="gramStart"/>
      <w:r w:rsidRPr="00E210CB">
        <w:t>n .</w:t>
      </w:r>
      <w:proofErr w:type="gramEnd"/>
      <w:r w:rsidRPr="00E210CB">
        <w:t> </w:t>
      </w:r>
      <w:hyperlink r:id="rId9" w:anchor="{%22appno%22:[%2266644/01%22]}" w:tgtFrame="_blank" w:history="1">
        <w:r w:rsidRPr="00E210CB">
          <w:rPr>
            <w:rStyle w:val="Collegamentoipertestuale"/>
          </w:rPr>
          <w:t>66644/01</w:t>
        </w:r>
      </w:hyperlink>
      <w:r w:rsidRPr="00E210CB">
        <w:t> , 2 dicembre 2004), la Corte ha ritenuto che " l'azione basata sulla legge Pinto è un ricorso che i ricorrenti devono utilizzare (...) per soddisfare l'articolo 35 § 1 della Convenzione non solo per le allegazioni relative all'articolo 6 § 1, ma anche per quelle relative all'articolo 1 del Protocollo n. 1 </w:t>
      </w:r>
      <w:proofErr w:type="gramStart"/>
      <w:r w:rsidRPr="00E210CB">
        <w:t>" .</w:t>
      </w:r>
      <w:proofErr w:type="gramEnd"/>
      <w:r w:rsidRPr="00E210CB">
        <w:t>  </w:t>
      </w:r>
      <w:r w:rsidRPr="00E210CB">
        <w:rPr>
          <w:i/>
          <w:iCs/>
        </w:rPr>
        <w:t> </w:t>
      </w:r>
      <w:r w:rsidRPr="00E210CB">
        <w:t>          </w:t>
      </w:r>
    </w:p>
    <w:p w14:paraId="3F8DAF9D" w14:textId="77777777" w:rsidR="00E210CB" w:rsidRPr="00E210CB" w:rsidRDefault="00E210CB" w:rsidP="00E210CB">
      <w:pPr>
        <w:jc w:val="both"/>
      </w:pPr>
      <w:r w:rsidRPr="00E210CB">
        <w:t>37. La Corte ricorda di aver ritenuto che, a partire dal 14 luglio 2003, la sentenza n. 362 del 2003 non può più essere ignorata dal pubblico e che è a partire da tale data che i ricorrenti devono essere tenuti a avvalersi di tale ricorso ai sensi dell'articolo 35 § 1 della Convenzione (vedere </w:t>
      </w:r>
      <w:r w:rsidRPr="00E210CB">
        <w:rPr>
          <w:i/>
          <w:iCs/>
        </w:rPr>
        <w:t>Sgattoni c. Italia </w:t>
      </w:r>
      <w:r w:rsidRPr="00E210CB">
        <w:t>, n. </w:t>
      </w:r>
      <w:hyperlink r:id="rId10" w:anchor="{%22appno%22:[%2277132/01%22]}" w:tgtFrame="_blank" w:history="1">
        <w:r w:rsidRPr="00E210CB">
          <w:rPr>
            <w:rStyle w:val="Collegamentoipertestuale"/>
          </w:rPr>
          <w:t>77132/01</w:t>
        </w:r>
      </w:hyperlink>
      <w:r w:rsidRPr="00E210CB">
        <w:t> , sentenza del 6 ottobre 2005, § 48).      </w:t>
      </w:r>
    </w:p>
    <w:p w14:paraId="3996E27E" w14:textId="77777777" w:rsidR="00E210CB" w:rsidRPr="00E210CB" w:rsidRDefault="00E210CB" w:rsidP="00E210CB">
      <w:pPr>
        <w:jc w:val="both"/>
      </w:pPr>
      <w:r w:rsidRPr="00E210CB">
        <w:t>38. Il ricorrente avrebbe quindi potuto efficacemente adire la Corte d'appello competente ai sensi della legge Pinto per lamentare le incapacità derivanti dal suo fallimento, in particolare a causa della durata del procedimento.  </w:t>
      </w:r>
    </w:p>
    <w:p w14:paraId="6C7BC80C" w14:textId="77777777" w:rsidR="00E210CB" w:rsidRPr="00E210CB" w:rsidRDefault="00E210CB" w:rsidP="00E210CB">
      <w:pPr>
        <w:jc w:val="both"/>
      </w:pPr>
      <w:r w:rsidRPr="00E210CB">
        <w:t>39. La Corte ritiene pertanto che questa parte del ricorso sia inammissibile per mancato esaurimento dei ricorsi interni e debba essere respinta ai sensi dell'articolo 35 §§ 1 e 4 della Convenzione.  </w:t>
      </w:r>
    </w:p>
    <w:p w14:paraId="63B6711D" w14:textId="77777777" w:rsidR="00E210CB" w:rsidRPr="00E210CB" w:rsidRDefault="00E210CB" w:rsidP="00E210CB">
      <w:pPr>
        <w:jc w:val="both"/>
      </w:pPr>
      <w:r w:rsidRPr="00E210CB">
        <w:t>II. SULLA PRESUNTA VIOLAZIONE DELL'ARTICOLO 3 DEL PROTOCOLLO N. 1  </w:t>
      </w:r>
    </w:p>
    <w:p w14:paraId="691E5002" w14:textId="77777777" w:rsidR="00E210CB" w:rsidRPr="00E210CB" w:rsidRDefault="00E210CB" w:rsidP="00E210CB">
      <w:pPr>
        <w:jc w:val="both"/>
      </w:pPr>
      <w:r w:rsidRPr="00E210CB">
        <w:t>40. Il ricorrente lamenta la limitazione dei suoi diritti elettorali in quanto costituisce una misura repressiva e anacronistica, priva di legittima giustificazione e volta a punire ed emarginare il fallito. Egli invoca l'articolo 3 del Protocollo n. </w:t>
      </w:r>
      <w:proofErr w:type="gramStart"/>
      <w:r w:rsidRPr="00E210CB">
        <w:t>1 ,</w:t>
      </w:r>
      <w:proofErr w:type="gramEnd"/>
      <w:r w:rsidRPr="00E210CB">
        <w:t xml:space="preserve"> che recita come </w:t>
      </w:r>
      <w:proofErr w:type="gramStart"/>
      <w:r w:rsidRPr="00E210CB">
        <w:t>segue :</w:t>
      </w:r>
      <w:proofErr w:type="gramEnd"/>
      <w:r w:rsidRPr="00E210CB">
        <w:t>   </w:t>
      </w:r>
    </w:p>
    <w:p w14:paraId="4AF03AD6" w14:textId="77777777" w:rsidR="00E210CB" w:rsidRPr="00E210CB" w:rsidRDefault="00E210CB" w:rsidP="00E210CB">
      <w:pPr>
        <w:jc w:val="both"/>
      </w:pPr>
      <w:r w:rsidRPr="00E210CB">
        <w:t>" Le Alte Parti Contraenti si impegnano a organizzare, a intervalli ragionevoli, libere elezioni a scrutinio segreto, in condizioni che assicurino la libera espressione dell'opinione del popolo sulla scelta del corpo legislativo. "  </w:t>
      </w:r>
    </w:p>
    <w:p w14:paraId="7D0E02F9" w14:textId="77777777" w:rsidR="00E210CB" w:rsidRPr="00E210CB" w:rsidRDefault="00E210CB" w:rsidP="00E210CB">
      <w:pPr>
        <w:jc w:val="both"/>
      </w:pPr>
      <w:r w:rsidRPr="00E210CB">
        <w:rPr>
          <w:b/>
          <w:bCs/>
        </w:rPr>
        <w:t>A. Sull'ammissibilità  </w:t>
      </w:r>
    </w:p>
    <w:p w14:paraId="1D95057E" w14:textId="77777777" w:rsidR="00E210CB" w:rsidRPr="00E210CB" w:rsidRDefault="00E210CB" w:rsidP="00E210CB">
      <w:pPr>
        <w:jc w:val="both"/>
      </w:pPr>
      <w:r w:rsidRPr="00E210CB">
        <w:t>41. La Corte ritiene che il presente ricorso non sia manifestamente infondato ai sensi dell'articolo 35 § 3 della Convenzione. Rileva inoltre che non è irricevibile per altri motivi. Deve pertanto essere dichiarato ricevibile.  </w:t>
      </w:r>
    </w:p>
    <w:p w14:paraId="79007023" w14:textId="77777777" w:rsidR="00E210CB" w:rsidRPr="00E210CB" w:rsidRDefault="00E210CB" w:rsidP="00E210CB">
      <w:pPr>
        <w:jc w:val="both"/>
      </w:pPr>
      <w:r w:rsidRPr="00E210CB">
        <w:rPr>
          <w:b/>
          <w:bCs/>
        </w:rPr>
        <w:t>B. Nel merito  </w:t>
      </w:r>
    </w:p>
    <w:p w14:paraId="20DAE5DA" w14:textId="77777777" w:rsidR="00E210CB" w:rsidRPr="00E210CB" w:rsidRDefault="00E210CB" w:rsidP="00E210CB">
      <w:pPr>
        <w:jc w:val="both"/>
      </w:pPr>
      <w:r w:rsidRPr="00E210CB">
        <w:t>42. Il Governo sostiene che gli Stati godono di un ampio margine di apprezzamento nello stabilire le condizioni relative ai diritti elettorali garantiti dall'articolo 3 del Protocollo n. 1 e che, in ogni caso, la limitazione in questione ha una durata di cinque anni a decorrere dalla dichiarazione di fallimento.  </w:t>
      </w:r>
    </w:p>
    <w:p w14:paraId="08B0AED8" w14:textId="77777777" w:rsidR="00E210CB" w:rsidRPr="00E210CB" w:rsidRDefault="00E210CB" w:rsidP="00E210CB">
      <w:pPr>
        <w:jc w:val="both"/>
      </w:pPr>
      <w:r w:rsidRPr="00E210CB">
        <w:lastRenderedPageBreak/>
        <w:t>43. Il ricorrente ritiene che la limitazione del diritto di voto del fallito si basi sull'idea che il fallito sia penalmente responsabile del proprio fallimento. Tale misura, il cui unico scopo è punire il fallito, appare ora antidemocratica e costituisce una violazione della dignità umana del fallito.  </w:t>
      </w:r>
    </w:p>
    <w:p w14:paraId="7D30555A" w14:textId="77777777" w:rsidR="00E210CB" w:rsidRPr="00E210CB" w:rsidRDefault="00E210CB" w:rsidP="00E210CB">
      <w:pPr>
        <w:jc w:val="both"/>
      </w:pPr>
      <w:r w:rsidRPr="00E210CB">
        <w:t xml:space="preserve">44. La Corte ricorda che l'articolo 3 del Protocollo n. 1 comporta i diritti soggettivi di voto e di eleggibilità </w:t>
      </w:r>
      <w:proofErr w:type="gramStart"/>
      <w:r w:rsidRPr="00E210CB">
        <w:t>( </w:t>
      </w:r>
      <w:r w:rsidRPr="00E210CB">
        <w:rPr>
          <w:i/>
          <w:iCs/>
        </w:rPr>
        <w:t>Mathieu</w:t>
      </w:r>
      <w:proofErr w:type="gramEnd"/>
      <w:r w:rsidRPr="00E210CB">
        <w:rPr>
          <w:i/>
          <w:iCs/>
        </w:rPr>
        <w:t>-</w:t>
      </w:r>
      <w:proofErr w:type="spellStart"/>
      <w:r w:rsidRPr="00E210CB">
        <w:rPr>
          <w:i/>
          <w:iCs/>
        </w:rPr>
        <w:t>Mohin</w:t>
      </w:r>
      <w:proofErr w:type="spellEnd"/>
      <w:r w:rsidRPr="00E210CB">
        <w:rPr>
          <w:i/>
          <w:iCs/>
        </w:rPr>
        <w:t xml:space="preserve"> e </w:t>
      </w:r>
      <w:proofErr w:type="spellStart"/>
      <w:r w:rsidRPr="00E210CB">
        <w:rPr>
          <w:i/>
          <w:iCs/>
        </w:rPr>
        <w:t>Clerfayt</w:t>
      </w:r>
      <w:proofErr w:type="spellEnd"/>
      <w:r w:rsidRPr="00E210CB">
        <w:rPr>
          <w:i/>
          <w:iCs/>
        </w:rPr>
        <w:t xml:space="preserve"> c. </w:t>
      </w:r>
      <w:proofErr w:type="gramStart"/>
      <w:r w:rsidRPr="00E210CB">
        <w:rPr>
          <w:i/>
          <w:iCs/>
        </w:rPr>
        <w:t>Belgio </w:t>
      </w:r>
      <w:r w:rsidRPr="00E210CB">
        <w:t>,</w:t>
      </w:r>
      <w:proofErr w:type="gramEnd"/>
      <w:r w:rsidRPr="00E210CB">
        <w:t xml:space="preserve"> sentenza del 2 marzo 1987, serie A </w:t>
      </w:r>
      <w:proofErr w:type="gramStart"/>
      <w:r w:rsidRPr="00E210CB">
        <w:t>n .</w:t>
      </w:r>
      <w:proofErr w:type="gramEnd"/>
      <w:r w:rsidRPr="00E210CB">
        <w:t xml:space="preserve"> 113, pp. 22-23, § 51), e ritiene che tali diritti siano essenziali per stabilire e mantenere le fondamenta di una vera democrazia retta dallo stato di diritto </w:t>
      </w:r>
      <w:proofErr w:type="gramStart"/>
      <w:r w:rsidRPr="00E210CB">
        <w:t>( </w:t>
      </w:r>
      <w:r w:rsidRPr="00E210CB">
        <w:rPr>
          <w:i/>
          <w:iCs/>
        </w:rPr>
        <w:t>Hirst</w:t>
      </w:r>
      <w:proofErr w:type="gramEnd"/>
      <w:r w:rsidRPr="00E210CB">
        <w:rPr>
          <w:i/>
          <w:iCs/>
        </w:rPr>
        <w:t xml:space="preserve"> c. Regno Unito (</w:t>
      </w:r>
      <w:proofErr w:type="gramStart"/>
      <w:r w:rsidRPr="00E210CB">
        <w:rPr>
          <w:i/>
          <w:iCs/>
        </w:rPr>
        <w:t>n .</w:t>
      </w:r>
      <w:proofErr w:type="gramEnd"/>
      <w:r w:rsidRPr="00E210CB">
        <w:rPr>
          <w:i/>
          <w:iCs/>
        </w:rPr>
        <w:t> </w:t>
      </w:r>
      <w:proofErr w:type="gramStart"/>
      <w:r w:rsidRPr="00E210CB">
        <w:rPr>
          <w:i/>
          <w:iCs/>
        </w:rPr>
        <w:t>2) </w:t>
      </w:r>
      <w:r w:rsidRPr="00E210CB">
        <w:t>,</w:t>
      </w:r>
      <w:proofErr w:type="gramEnd"/>
      <w:r w:rsidRPr="00E210CB">
        <w:t xml:space="preserve"> GC, </w:t>
      </w:r>
      <w:proofErr w:type="gramStart"/>
      <w:r w:rsidRPr="00E210CB">
        <w:t>n .</w:t>
      </w:r>
      <w:proofErr w:type="gramEnd"/>
      <w:r w:rsidRPr="00E210CB">
        <w:t> </w:t>
      </w:r>
      <w:hyperlink r:id="rId11" w:anchor="{%22appno%22:[%2274025/01%22]}" w:tgtFrame="_blank" w:history="1">
        <w:r w:rsidRPr="00E210CB">
          <w:rPr>
            <w:rStyle w:val="Collegamentoipertestuale"/>
          </w:rPr>
          <w:t>74025/01</w:t>
        </w:r>
      </w:hyperlink>
      <w:r w:rsidRPr="00E210CB">
        <w:t> , § 58). Ricorda inoltre che, per quanto importanti possano essere tali diritti, essi non sono assoluti. Nei rispettivi ordinamenti giuridici, gli Stati contraenti pongono condizioni ai diritti di voto e di eleggibilità, che l'articolo 3, in linea di principio, non esclude. Essi godono di un ampio margine di apprezzamento in materia, ma spetta alla Corte pronunciarsi in ultima istanza sul rispetto delle esigenze del Protocollo n. 1 ; essa deve assicurarsi che tali condizioni non riducano i diritti in questione al punto da incidere sulla loro stessa sostanza e privarli della loro efficacia, che perseguano uno scopo legittimo e che i mezzi impiegati non siano sproporzionati (vedere </w:t>
      </w:r>
      <w:proofErr w:type="spellStart"/>
      <w:r w:rsidRPr="00E210CB">
        <w:rPr>
          <w:i/>
          <w:iCs/>
        </w:rPr>
        <w:t>Gitonas</w:t>
      </w:r>
      <w:proofErr w:type="spellEnd"/>
      <w:r w:rsidRPr="00E210CB">
        <w:rPr>
          <w:i/>
          <w:iCs/>
        </w:rPr>
        <w:t xml:space="preserve"> e altri c. Grecia </w:t>
      </w:r>
      <w:r w:rsidRPr="00E210CB">
        <w:t>, sentenza del 1° luglio 1997, </w:t>
      </w:r>
      <w:r w:rsidRPr="00E210CB">
        <w:rPr>
          <w:i/>
          <w:iCs/>
        </w:rPr>
        <w:t>Raccolta delle sentenze e decisioni </w:t>
      </w:r>
      <w:r w:rsidRPr="00E210CB">
        <w:t>1997-IV, § 39, </w:t>
      </w:r>
      <w:r w:rsidRPr="00E210CB">
        <w:rPr>
          <w:i/>
          <w:iCs/>
        </w:rPr>
        <w:t>Aziz c. Cipro </w:t>
      </w:r>
      <w:r w:rsidRPr="00E210CB">
        <w:t>, sentenza del 22 giugno 2004 n. 69949/01 </w:t>
      </w:r>
      <w:hyperlink r:id="rId12" w:anchor="{%22appno%22:[%2269949/01%22]}" w:tgtFrame="_blank" w:history="1">
        <w:r w:rsidRPr="00E210CB">
          <w:rPr>
            <w:rStyle w:val="Collegamentoipertestuale"/>
          </w:rPr>
          <w:t>,</w:t>
        </w:r>
      </w:hyperlink>
      <w:r w:rsidRPr="00E210CB">
        <w:t> § 25, e </w:t>
      </w:r>
      <w:r w:rsidRPr="00E210CB">
        <w:rPr>
          <w:i/>
          <w:iCs/>
        </w:rPr>
        <w:t>Hirst </w:t>
      </w:r>
      <w:r w:rsidRPr="00E210CB">
        <w:t>, citata sopra, § 62).       </w:t>
      </w:r>
    </w:p>
    <w:p w14:paraId="42476970" w14:textId="77777777" w:rsidR="00E210CB" w:rsidRPr="00E210CB" w:rsidRDefault="00E210CB" w:rsidP="00E210CB">
      <w:pPr>
        <w:jc w:val="both"/>
      </w:pPr>
      <w:r w:rsidRPr="00E210CB">
        <w:t xml:space="preserve">45. Nel caso di specie, la Corte rileva che la misura in questione è prevista dalla legge, e precisamente dall'articolo </w:t>
      </w:r>
      <w:proofErr w:type="gramStart"/>
      <w:r w:rsidRPr="00E210CB">
        <w:t>2 </w:t>
      </w:r>
      <w:r w:rsidRPr="00E210CB">
        <w:rPr>
          <w:b/>
          <w:bCs/>
        </w:rPr>
        <w:t>,</w:t>
      </w:r>
      <w:proofErr w:type="gramEnd"/>
      <w:r w:rsidRPr="00E210CB">
        <w:rPr>
          <w:b/>
          <w:bCs/>
        </w:rPr>
        <w:t> </w:t>
      </w:r>
      <w:r w:rsidRPr="00E210CB">
        <w:t>comma 1, lettera a) del decreto del Presidente della Repubblica 20 marzo 1967, n. </w:t>
      </w:r>
      <w:proofErr w:type="gramStart"/>
      <w:r w:rsidRPr="00E210CB">
        <w:t>223 ,</w:t>
      </w:r>
      <w:proofErr w:type="gramEnd"/>
      <w:r w:rsidRPr="00E210CB">
        <w:t xml:space="preserve"> modificato dalla legge 16 gennaio 1992, n. </w:t>
      </w:r>
      <w:proofErr w:type="gramStart"/>
      <w:r w:rsidRPr="00E210CB">
        <w:t>15 ,</w:t>
      </w:r>
      <w:proofErr w:type="gramEnd"/>
      <w:r w:rsidRPr="00E210CB">
        <w:t xml:space="preserve"> che prevede sostanzialmente la sospensione dei diritti elettorali del fallito durante la procedura concorsuale e, comunque, per un periodo non superiore a cinque anni dalla data della dichiarazione di fallimento.  </w:t>
      </w:r>
      <w:r w:rsidRPr="00E210CB">
        <w:rPr>
          <w:b/>
          <w:bCs/>
        </w:rPr>
        <w:t> </w:t>
      </w:r>
      <w:r w:rsidRPr="00E210CB">
        <w:t>  </w:t>
      </w:r>
    </w:p>
    <w:p w14:paraId="48A4BE63" w14:textId="77777777" w:rsidR="00E210CB" w:rsidRPr="00E210CB" w:rsidRDefault="00E210CB" w:rsidP="00E210CB">
      <w:pPr>
        <w:jc w:val="both"/>
      </w:pPr>
      <w:r w:rsidRPr="00E210CB">
        <w:t>46. ​​​È evidente che tale misura costituisce un’ingerenza nei diritti elettorali del ricorrente garantiti dall’articolo 3 del Protocollo n. </w:t>
      </w:r>
      <w:proofErr w:type="gramStart"/>
      <w:r w:rsidRPr="00E210CB">
        <w:t>1 .</w:t>
      </w:r>
      <w:proofErr w:type="gramEnd"/>
      <w:r w:rsidRPr="00E210CB">
        <w:t>  </w:t>
      </w:r>
    </w:p>
    <w:p w14:paraId="7328A77D" w14:textId="77777777" w:rsidR="00E210CB" w:rsidRPr="00E210CB" w:rsidRDefault="00E210CB" w:rsidP="00E210CB">
      <w:pPr>
        <w:jc w:val="both"/>
      </w:pPr>
      <w:r w:rsidRPr="00E210CB">
        <w:t>Inoltre, dalla limitazione dei diritti elettorali derivano altre incapacità personali, come ad esempio l'impossibilità di ricoprire cariche pubbliche presso lo Stato.</w:t>
      </w:r>
    </w:p>
    <w:p w14:paraId="79AE6A35" w14:textId="77777777" w:rsidR="00E210CB" w:rsidRPr="00E210CB" w:rsidRDefault="00E210CB" w:rsidP="00E210CB">
      <w:pPr>
        <w:jc w:val="both"/>
      </w:pPr>
      <w:r w:rsidRPr="00E210CB">
        <w:t>47. Inoltre, la Corte rileva che l'esercizio dei diritti elettorali del ricorrente è stato sospeso dal 26 giugno 1998 al 26 giugno 2003 e che, durante questo periodo, si sono svolte le elezioni politiche del 13 maggio 2001.  </w:t>
      </w:r>
    </w:p>
    <w:p w14:paraId="332D6093" w14:textId="77777777" w:rsidR="00E210CB" w:rsidRPr="00E210CB" w:rsidRDefault="00E210CB" w:rsidP="00E210CB">
      <w:pPr>
        <w:jc w:val="both"/>
      </w:pPr>
      <w:r w:rsidRPr="00E210CB">
        <w:t>48. Per quanto riguarda lo scopo perseguito da questa misura, la Corte ricorda che, a differenza di altre disposizioni della Convenzione, l'articolo 3 del Protocollo n. 1 non specifica né limita gli scopi che una restrizione deve perseguire. Un'ampia varietà di scopi può quindi essere considerata compatibile con esso (vedi </w:t>
      </w:r>
      <w:proofErr w:type="gramStart"/>
      <w:r w:rsidRPr="00E210CB">
        <w:rPr>
          <w:i/>
          <w:iCs/>
        </w:rPr>
        <w:t>Hirst </w:t>
      </w:r>
      <w:r w:rsidRPr="00E210CB">
        <w:t>,</w:t>
      </w:r>
      <w:proofErr w:type="gramEnd"/>
      <w:r w:rsidRPr="00E210CB">
        <w:t xml:space="preserve"> cit., § 74 e, ad esempio, </w:t>
      </w:r>
      <w:proofErr w:type="spellStart"/>
      <w:r w:rsidRPr="00E210CB">
        <w:rPr>
          <w:i/>
          <w:iCs/>
        </w:rPr>
        <w:t>Podkolzina</w:t>
      </w:r>
      <w:proofErr w:type="spellEnd"/>
      <w:r w:rsidRPr="00E210CB">
        <w:rPr>
          <w:i/>
          <w:iCs/>
        </w:rPr>
        <w:t xml:space="preserve"> c. </w:t>
      </w:r>
      <w:proofErr w:type="gramStart"/>
      <w:r w:rsidRPr="00E210CB">
        <w:rPr>
          <w:i/>
          <w:iCs/>
        </w:rPr>
        <w:t>Lettonia </w:t>
      </w:r>
      <w:r w:rsidRPr="00E210CB">
        <w:t>,</w:t>
      </w:r>
      <w:proofErr w:type="gramEnd"/>
      <w:r w:rsidRPr="00E210CB">
        <w:t xml:space="preserve"> </w:t>
      </w:r>
      <w:proofErr w:type="gramStart"/>
      <w:r w:rsidRPr="00E210CB">
        <w:t>n .</w:t>
      </w:r>
      <w:proofErr w:type="gramEnd"/>
      <w:r w:rsidRPr="00E210CB">
        <w:t> </w:t>
      </w:r>
      <w:hyperlink r:id="rId13" w:anchor="{%22appno%22:[%2246726/99%22]}" w:tgtFrame="_blank" w:history="1">
        <w:r w:rsidRPr="00E210CB">
          <w:rPr>
            <w:rStyle w:val="Collegamentoipertestuale"/>
          </w:rPr>
          <w:t>46726/99</w:t>
        </w:r>
      </w:hyperlink>
      <w:r w:rsidRPr="00E210CB">
        <w:t> , § 33, CEDU 2002-II).   </w:t>
      </w:r>
    </w:p>
    <w:p w14:paraId="6EDEC1D7" w14:textId="77777777" w:rsidR="00E210CB" w:rsidRPr="00E210CB" w:rsidRDefault="00E210CB" w:rsidP="00E210CB">
      <w:pPr>
        <w:jc w:val="both"/>
      </w:pPr>
      <w:r w:rsidRPr="00E210CB">
        <w:t>La Corte rileva inoltre che nel caso </w:t>
      </w:r>
      <w:r w:rsidRPr="00E210CB">
        <w:rPr>
          <w:i/>
          <w:iCs/>
        </w:rPr>
        <w:t>Hirst </w:t>
      </w:r>
      <w:r w:rsidRPr="00E210CB">
        <w:t>(citato sopra, § 74), la Grande Camera della Corte ha ritenuto che la limitazione del diritto di voto dei prigionieri potesse essere considerata come avente lo scopo di prevenire la criminalità, rafforzare il senso civico e il rispetto dello stato di diritto.</w:t>
      </w:r>
    </w:p>
    <w:p w14:paraId="72BF3828" w14:textId="77777777" w:rsidR="00E210CB" w:rsidRPr="00E210CB" w:rsidRDefault="00E210CB" w:rsidP="00E210CB">
      <w:pPr>
        <w:jc w:val="both"/>
      </w:pPr>
      <w:r w:rsidRPr="00E210CB">
        <w:lastRenderedPageBreak/>
        <w:t>La Corte desidera sottolineare che la procedura fallimentare in questione rientra nel diritto civile, non nel diritto penale. Pertanto, qualsiasi nozione di dolo o frode da parte del fallito dichiarato è irrilevante ai fini del caso di specie; in caso contrario, la questione rientrerebbe nel reato di bancarotta semplice o fraudolenta, disciplinato dagli articoli 216 e 217 della Legge Fallimentare. La Corte sottolinea inoltre che la limitazione del diritto di voto del fallito persegue una finalità essenzialmente punitiva, volta a svalutare e punire il fallito come persona indegna, coperta di infamia per il solo fatto di essere stata sottoposta a procedura fallimentare civile.</w:t>
      </w:r>
    </w:p>
    <w:p w14:paraId="2CDA5BD5" w14:textId="77777777" w:rsidR="00E210CB" w:rsidRPr="00E210CB" w:rsidRDefault="00E210CB" w:rsidP="00E210CB">
      <w:pPr>
        <w:jc w:val="both"/>
      </w:pPr>
      <w:r w:rsidRPr="00E210CB">
        <w:t>49. Alla luce di queste considerazioni, la Corte ritiene che la misura prevista dall'articolo 2 del decreto presidenziale n. 223 del 20 marzo 1967 sia intesa unicamente a diminuire il fallimento e costituisca un rimprovero morale per il solo fatto di essere insolvente, indipendentemente da qualsiasi colpevolezza (vedere, </w:t>
      </w:r>
      <w:proofErr w:type="spellStart"/>
      <w:r w:rsidRPr="00E210CB">
        <w:rPr>
          <w:i/>
          <w:iCs/>
        </w:rPr>
        <w:t>mutatis</w:t>
      </w:r>
      <w:proofErr w:type="spellEnd"/>
      <w:r w:rsidRPr="00E210CB">
        <w:rPr>
          <w:i/>
          <w:iCs/>
        </w:rPr>
        <w:t xml:space="preserve"> </w:t>
      </w:r>
      <w:proofErr w:type="spellStart"/>
      <w:proofErr w:type="gramStart"/>
      <w:r w:rsidRPr="00E210CB">
        <w:rPr>
          <w:i/>
          <w:iCs/>
        </w:rPr>
        <w:t>mutandis</w:t>
      </w:r>
      <w:proofErr w:type="spellEnd"/>
      <w:r w:rsidRPr="00E210CB">
        <w:rPr>
          <w:i/>
          <w:iCs/>
        </w:rPr>
        <w:t> </w:t>
      </w:r>
      <w:r w:rsidRPr="00E210CB">
        <w:t>,</w:t>
      </w:r>
      <w:proofErr w:type="gramEnd"/>
      <w:r w:rsidRPr="00E210CB">
        <w:t> </w:t>
      </w:r>
      <w:proofErr w:type="spellStart"/>
      <w:r w:rsidRPr="00E210CB">
        <w:rPr>
          <w:i/>
          <w:iCs/>
        </w:rPr>
        <w:t>Sabou</w:t>
      </w:r>
      <w:proofErr w:type="spellEnd"/>
      <w:r w:rsidRPr="00E210CB">
        <w:rPr>
          <w:i/>
          <w:iCs/>
        </w:rPr>
        <w:t xml:space="preserve"> e </w:t>
      </w:r>
      <w:proofErr w:type="spellStart"/>
      <w:r w:rsidRPr="00E210CB">
        <w:rPr>
          <w:i/>
          <w:iCs/>
        </w:rPr>
        <w:t>Pircalab</w:t>
      </w:r>
      <w:proofErr w:type="spellEnd"/>
      <w:r w:rsidRPr="00E210CB">
        <w:rPr>
          <w:i/>
          <w:iCs/>
        </w:rPr>
        <w:t xml:space="preserve"> c. </w:t>
      </w:r>
      <w:proofErr w:type="gramStart"/>
      <w:r w:rsidRPr="00E210CB">
        <w:rPr>
          <w:i/>
          <w:iCs/>
        </w:rPr>
        <w:t>Romania </w:t>
      </w:r>
      <w:r w:rsidRPr="00E210CB">
        <w:t>,</w:t>
      </w:r>
      <w:proofErr w:type="gramEnd"/>
      <w:r w:rsidRPr="00E210CB">
        <w:t xml:space="preserve"> </w:t>
      </w:r>
      <w:proofErr w:type="gramStart"/>
      <w:r w:rsidRPr="00E210CB">
        <w:t>n .</w:t>
      </w:r>
      <w:proofErr w:type="gramEnd"/>
      <w:r w:rsidRPr="00E210CB">
        <w:t> </w:t>
      </w:r>
      <w:hyperlink r:id="rId14" w:anchor="{%22appno%22:[%2246572/99%22]}" w:tgtFrame="_blank" w:history="1">
        <w:r w:rsidRPr="00E210CB">
          <w:rPr>
            <w:rStyle w:val="Collegamentoipertestuale"/>
          </w:rPr>
          <w:t>46572/99</w:t>
        </w:r>
      </w:hyperlink>
      <w:r w:rsidRPr="00E210CB">
        <w:t> , § 48, 28 settembre 2004). Essa non persegue pertanto uno scopo legittimo. Inoltre, la Corte sottolinea che, lungi dall'essere un privilegio, il voto è un diritto garantito dalla Convenzione (vedere </w:t>
      </w:r>
      <w:proofErr w:type="gramStart"/>
      <w:r w:rsidRPr="00E210CB">
        <w:rPr>
          <w:i/>
          <w:iCs/>
        </w:rPr>
        <w:t>Hirst </w:t>
      </w:r>
      <w:r w:rsidRPr="00E210CB">
        <w:t>,</w:t>
      </w:r>
      <w:proofErr w:type="gramEnd"/>
      <w:r w:rsidRPr="00E210CB">
        <w:t xml:space="preserve"> cit., § 75).     </w:t>
      </w:r>
    </w:p>
    <w:p w14:paraId="5001B340" w14:textId="77777777" w:rsidR="00E210CB" w:rsidRPr="00E210CB" w:rsidRDefault="00E210CB" w:rsidP="00E210CB">
      <w:pPr>
        <w:jc w:val="both"/>
      </w:pPr>
      <w:r w:rsidRPr="00E210CB">
        <w:t>Tale conclusione esonera la Corte dalla necessità di verificare, nel caso di specie, se i mezzi impiegati per raggiungere l'obiettivo perseguito siano sproporzionati.</w:t>
      </w:r>
    </w:p>
    <w:p w14:paraId="6C4672EB" w14:textId="77777777" w:rsidR="00E210CB" w:rsidRPr="00E210CB" w:rsidRDefault="00E210CB" w:rsidP="00E210CB">
      <w:pPr>
        <w:jc w:val="both"/>
      </w:pPr>
      <w:r w:rsidRPr="00E210CB">
        <w:t>Vi è stata pertanto una violazione dell'articolo 3 del Protocollo n. </w:t>
      </w:r>
      <w:proofErr w:type="gramStart"/>
      <w:r w:rsidRPr="00E210CB">
        <w:t>1 .</w:t>
      </w:r>
      <w:proofErr w:type="gramEnd"/>
    </w:p>
    <w:p w14:paraId="65B384F3" w14:textId="77777777" w:rsidR="00E210CB" w:rsidRPr="00E210CB" w:rsidRDefault="00E210CB" w:rsidP="00E210CB">
      <w:pPr>
        <w:jc w:val="both"/>
      </w:pPr>
      <w:r w:rsidRPr="00E210CB">
        <w:t>III. SULLA PRESUNTA VIOLAZIONE DELL'ARTICOLO 8 DELLA CONVENZIONE, RELATIVO AL DIRITTO AL RISPETTO DELLA VITA PRIVATA  </w:t>
      </w:r>
    </w:p>
    <w:p w14:paraId="3300478D" w14:textId="77777777" w:rsidR="00E210CB" w:rsidRPr="00E210CB" w:rsidRDefault="00E210CB" w:rsidP="00E210CB">
      <w:pPr>
        <w:jc w:val="both"/>
      </w:pPr>
      <w:r w:rsidRPr="00E210CB">
        <w:t>50. Invocando l'articolo 8 della Convenzione, il ricorrente lamenta una violazione del suo diritto al rispetto della vita privata, poiché, a causa dell'iscrizione del suo nome nel registro dei falliti, non è in grado di esercitare alcuna attività professionale o commerciale. Inoltre, lamenta che, ai sensi dell'articolo 143 della Legge fallimentare, la sua riabilitazione, che pone fine alle sue incapacità personali, può essere richiesta solo cinque anni dopo la chiusura della procedura fallimentare.  </w:t>
      </w:r>
    </w:p>
    <w:p w14:paraId="2CC5CDEE" w14:textId="77777777" w:rsidR="00E210CB" w:rsidRPr="00E210CB" w:rsidRDefault="00E210CB" w:rsidP="00E210CB">
      <w:pPr>
        <w:jc w:val="both"/>
      </w:pPr>
      <w:r w:rsidRPr="00E210CB">
        <w:t xml:space="preserve">51. L'articolo 8 della Convenzione recita come </w:t>
      </w:r>
      <w:proofErr w:type="gramStart"/>
      <w:r w:rsidRPr="00E210CB">
        <w:t>segue :</w:t>
      </w:r>
      <w:proofErr w:type="gramEnd"/>
      <w:r w:rsidRPr="00E210CB">
        <w:t>   </w:t>
      </w:r>
    </w:p>
    <w:p w14:paraId="3B79F7E8" w14:textId="77777777" w:rsidR="00E210CB" w:rsidRPr="00E210CB" w:rsidRDefault="00E210CB" w:rsidP="00E210CB">
      <w:pPr>
        <w:jc w:val="both"/>
      </w:pPr>
      <w:r w:rsidRPr="00E210CB">
        <w:t>" 1. Ogni individuo ha diritto al rispetto della propria vita privata (...).   </w:t>
      </w:r>
    </w:p>
    <w:p w14:paraId="51284DF5" w14:textId="77777777" w:rsidR="00E210CB" w:rsidRPr="00E210CB" w:rsidRDefault="00E210CB" w:rsidP="00E210CB">
      <w:pPr>
        <w:jc w:val="both"/>
      </w:pPr>
      <w:r w:rsidRPr="00E210CB">
        <w:t xml:space="preserve">2. Non può esservi ingerenza di un'autorità pubblica nell'esercizio di questo diritto, a meno che tale ingerenza sia prevista dalla legge e costituisca una misura necessaria, in una società democratica, alla sicurezza nazionale, alla pubblica sicurezza, al benessere economico del paese, alla difesa dell'ordine e alla prevenzione dei reati, alla protezione della salute o della morale, o alla protezione dei diritti e delle libertà </w:t>
      </w:r>
      <w:proofErr w:type="gramStart"/>
      <w:r w:rsidRPr="00E210CB">
        <w:t>altrui .</w:t>
      </w:r>
      <w:proofErr w:type="gramEnd"/>
      <w:r w:rsidRPr="00E210CB">
        <w:t>   </w:t>
      </w:r>
    </w:p>
    <w:p w14:paraId="12437F35" w14:textId="77777777" w:rsidR="00E210CB" w:rsidRPr="00E210CB" w:rsidRDefault="00E210CB" w:rsidP="00E210CB">
      <w:pPr>
        <w:jc w:val="both"/>
      </w:pPr>
      <w:r w:rsidRPr="00E210CB">
        <w:rPr>
          <w:b/>
          <w:bCs/>
        </w:rPr>
        <w:t>A. Sull'ammissibilità  </w:t>
      </w:r>
    </w:p>
    <w:p w14:paraId="4273C781" w14:textId="77777777" w:rsidR="00E210CB" w:rsidRPr="00E210CB" w:rsidRDefault="00E210CB" w:rsidP="00E210CB">
      <w:pPr>
        <w:jc w:val="both"/>
      </w:pPr>
      <w:r w:rsidRPr="00E210CB">
        <w:t>52. La Corte ritiene che il presente motivo di ricorso non sia manifestamente infondato ai sensi dell'articolo 35 § 3 della Convenzione. Rileva inoltre che non è irricevibile per altri motivi. Deve pertanto essere dichiarato ricevibile.  </w:t>
      </w:r>
    </w:p>
    <w:p w14:paraId="6EB982FE" w14:textId="77777777" w:rsidR="00E210CB" w:rsidRPr="00E210CB" w:rsidRDefault="00E210CB" w:rsidP="00E210CB">
      <w:pPr>
        <w:jc w:val="both"/>
      </w:pPr>
      <w:r w:rsidRPr="00E210CB">
        <w:rPr>
          <w:b/>
          <w:bCs/>
        </w:rPr>
        <w:t>B. Nel merito  </w:t>
      </w:r>
    </w:p>
    <w:p w14:paraId="5DE33006" w14:textId="77777777" w:rsidR="00E210CB" w:rsidRPr="00E210CB" w:rsidRDefault="00E210CB" w:rsidP="00E210CB">
      <w:pPr>
        <w:jc w:val="both"/>
      </w:pPr>
      <w:r w:rsidRPr="00E210CB">
        <w:rPr>
          <w:i/>
          <w:iCs/>
        </w:rPr>
        <w:lastRenderedPageBreak/>
        <w:t>1. Applicabilità dell'articolo 8 della Convenzione  </w:t>
      </w:r>
    </w:p>
    <w:p w14:paraId="6FB649CB" w14:textId="77777777" w:rsidR="00E210CB" w:rsidRPr="00E210CB" w:rsidRDefault="00E210CB" w:rsidP="00E210CB">
      <w:pPr>
        <w:jc w:val="both"/>
      </w:pPr>
      <w:r w:rsidRPr="00E210CB">
        <w:rPr>
          <w:i/>
          <w:iCs/>
        </w:rPr>
        <w:t> </w:t>
      </w:r>
    </w:p>
    <w:p w14:paraId="3F39D500" w14:textId="77777777" w:rsidR="00E210CB" w:rsidRPr="00E210CB" w:rsidRDefault="00E210CB" w:rsidP="00E210CB">
      <w:pPr>
        <w:jc w:val="both"/>
      </w:pPr>
      <w:r w:rsidRPr="00E210CB">
        <w:t xml:space="preserve">53. La Corte rileva che la vita privata </w:t>
      </w:r>
      <w:proofErr w:type="gramStart"/>
      <w:r w:rsidRPr="00E210CB">
        <w:t>“ comprende</w:t>
      </w:r>
      <w:proofErr w:type="gramEnd"/>
      <w:r w:rsidRPr="00E210CB">
        <w:t xml:space="preserve"> il diritto dell’individuo a stabilire e sviluppare relazioni con i propri simili, anche nella sfera professionale e </w:t>
      </w:r>
      <w:proofErr w:type="gramStart"/>
      <w:r w:rsidRPr="00E210CB">
        <w:t>commerciale ”</w:t>
      </w:r>
      <w:proofErr w:type="gramEnd"/>
      <w:r w:rsidRPr="00E210CB">
        <w:t xml:space="preserve"> </w:t>
      </w:r>
      <w:proofErr w:type="gramStart"/>
      <w:r w:rsidRPr="00E210CB">
        <w:t>( </w:t>
      </w:r>
      <w:r w:rsidRPr="00E210CB">
        <w:rPr>
          <w:i/>
          <w:iCs/>
        </w:rPr>
        <w:t>C.</w:t>
      </w:r>
      <w:proofErr w:type="gramEnd"/>
      <w:r w:rsidRPr="00E210CB">
        <w:rPr>
          <w:i/>
          <w:iCs/>
        </w:rPr>
        <w:t xml:space="preserve"> c. </w:t>
      </w:r>
      <w:proofErr w:type="gramStart"/>
      <w:r w:rsidRPr="00E210CB">
        <w:rPr>
          <w:i/>
          <w:iCs/>
        </w:rPr>
        <w:t>Belgio </w:t>
      </w:r>
      <w:r w:rsidRPr="00E210CB">
        <w:t>,</w:t>
      </w:r>
      <w:proofErr w:type="gramEnd"/>
      <w:r w:rsidRPr="00E210CB">
        <w:t xml:space="preserve"> </w:t>
      </w:r>
      <w:proofErr w:type="gramStart"/>
      <w:r w:rsidRPr="00E210CB">
        <w:t>n .</w:t>
      </w:r>
      <w:proofErr w:type="gramEnd"/>
      <w:r w:rsidRPr="00E210CB">
        <w:t> </w:t>
      </w:r>
      <w:hyperlink r:id="rId15" w:anchor="{%22appno%22:[%2221794/93%22]}" w:tgtFrame="_blank" w:history="1">
        <w:r w:rsidRPr="00E210CB">
          <w:rPr>
            <w:rStyle w:val="Collegamentoipertestuale"/>
          </w:rPr>
          <w:t>21794/93</w:t>
        </w:r>
      </w:hyperlink>
      <w:r w:rsidRPr="00E210CB">
        <w:t> § 25, CEDU 1996-III). La Corte ritiene inoltre che l’articolo 8 della Convenzione “ protegge (...) il diritto allo sviluppo personale e il diritto di stabilire e mantenere relazioni con altri esseri umani e con il mondo esterno ” ( </w:t>
      </w:r>
      <w:r w:rsidRPr="00E210CB">
        <w:rPr>
          <w:i/>
          <w:iCs/>
        </w:rPr>
        <w:t>Pretty c. Regno Unito </w:t>
      </w:r>
      <w:r w:rsidRPr="00E210CB">
        <w:t>, n. 2346/02 </w:t>
      </w:r>
      <w:hyperlink r:id="rId16" w:anchor="{%22appno%22:[%222346/02%22]}" w:tgtFrame="_blank" w:history="1">
        <w:r w:rsidRPr="00E210CB">
          <w:rPr>
            <w:rStyle w:val="Collegamentoipertestuale"/>
          </w:rPr>
          <w:t>,</w:t>
        </w:r>
      </w:hyperlink>
      <w:r w:rsidRPr="00E210CB">
        <w:t xml:space="preserve"> § 61, CEDU 2002-III) e che il concetto di “ vita privata ” non esclude in linea di principio le attività di natura professionale o commerciale. Del resto, è proprio nell'ambito del lavoro che le persone instaurano un gran numero di relazioni con il mondo esterno </w:t>
      </w:r>
      <w:proofErr w:type="gramStart"/>
      <w:r w:rsidRPr="00E210CB">
        <w:t>( </w:t>
      </w:r>
      <w:proofErr w:type="spellStart"/>
      <w:r w:rsidRPr="00E210CB">
        <w:rPr>
          <w:i/>
          <w:iCs/>
        </w:rPr>
        <w:t>Niemietz</w:t>
      </w:r>
      <w:proofErr w:type="spellEnd"/>
      <w:proofErr w:type="gramEnd"/>
      <w:r w:rsidRPr="00E210CB">
        <w:rPr>
          <w:i/>
          <w:iCs/>
        </w:rPr>
        <w:t xml:space="preserve"> c. </w:t>
      </w:r>
      <w:proofErr w:type="gramStart"/>
      <w:r w:rsidRPr="00E210CB">
        <w:rPr>
          <w:i/>
          <w:iCs/>
        </w:rPr>
        <w:t>Germania </w:t>
      </w:r>
      <w:r w:rsidRPr="00E210CB">
        <w:t>,</w:t>
      </w:r>
      <w:proofErr w:type="gramEnd"/>
      <w:r w:rsidRPr="00E210CB">
        <w:t xml:space="preserve"> sentenza del 16 dicembre 1992, serie A n. 251 - </w:t>
      </w:r>
      <w:proofErr w:type="gramStart"/>
      <w:r w:rsidRPr="00E210CB">
        <w:t>B ,</w:t>
      </w:r>
      <w:proofErr w:type="gramEnd"/>
      <w:r w:rsidRPr="00E210CB">
        <w:t xml:space="preserve"> § 29). La Corte ricorda inoltre di aver recentemente rilevato che il divieto di svolgere un gran numero di lavori nel settore privato attiene alla " vita privata " </w:t>
      </w:r>
      <w:proofErr w:type="gramStart"/>
      <w:r w:rsidRPr="00E210CB">
        <w:t>( </w:t>
      </w:r>
      <w:proofErr w:type="spellStart"/>
      <w:r w:rsidRPr="00E210CB">
        <w:rPr>
          <w:i/>
          <w:iCs/>
        </w:rPr>
        <w:t>Sidabras</w:t>
      </w:r>
      <w:proofErr w:type="spellEnd"/>
      <w:proofErr w:type="gramEnd"/>
      <w:r w:rsidRPr="00E210CB">
        <w:rPr>
          <w:i/>
          <w:iCs/>
        </w:rPr>
        <w:t xml:space="preserve"> e </w:t>
      </w:r>
      <w:proofErr w:type="spellStart"/>
      <w:r w:rsidRPr="00E210CB">
        <w:rPr>
          <w:i/>
          <w:iCs/>
        </w:rPr>
        <w:t>Džiautas</w:t>
      </w:r>
      <w:proofErr w:type="spellEnd"/>
      <w:r w:rsidRPr="00E210CB">
        <w:rPr>
          <w:i/>
          <w:iCs/>
        </w:rPr>
        <w:t xml:space="preserve"> c. </w:t>
      </w:r>
      <w:proofErr w:type="gramStart"/>
      <w:r w:rsidRPr="00E210CB">
        <w:rPr>
          <w:i/>
          <w:iCs/>
        </w:rPr>
        <w:t>Lituania </w:t>
      </w:r>
      <w:r w:rsidRPr="00E210CB">
        <w:t>,</w:t>
      </w:r>
      <w:proofErr w:type="gramEnd"/>
      <w:r w:rsidRPr="00E210CB">
        <w:t xml:space="preserve"> </w:t>
      </w:r>
      <w:proofErr w:type="spellStart"/>
      <w:r w:rsidRPr="00E210CB">
        <w:t>nn</w:t>
      </w:r>
      <w:proofErr w:type="spellEnd"/>
      <w:r w:rsidRPr="00E210CB">
        <w:t>. 55480/00 </w:t>
      </w:r>
      <w:hyperlink r:id="rId17" w:anchor="{%22appno%22:[%2255480/00%22]}" w:tgtFrame="_blank" w:history="1">
        <w:r w:rsidRPr="00E210CB">
          <w:rPr>
            <w:rStyle w:val="Collegamentoipertestuale"/>
          </w:rPr>
          <w:t>​​e</w:t>
        </w:r>
      </w:hyperlink>
      <w:r w:rsidRPr="00E210CB">
        <w:t> 59330/00 </w:t>
      </w:r>
      <w:hyperlink r:id="rId18" w:anchor="{%22appno%22:[%2259330/00%22]}" w:tgtFrame="_blank" w:history="1">
        <w:r w:rsidRPr="00E210CB">
          <w:rPr>
            <w:rStyle w:val="Collegamentoipertestuale"/>
          </w:rPr>
          <w:t>,</w:t>
        </w:r>
      </w:hyperlink>
      <w:r w:rsidRPr="00E210CB">
        <w:t> § 47, sentenza del 27 luglio 2004), tenendo conto anche dell'articolo 1 § 2 della Carta sociale europea, entrata in vigore in Italia il 1° settembre 1999, secondo cui " Al fine di garantire l'effettivo esercizio del diritto al lavoro, le Parti si impegnano (...) a proteggere efficacemente il diritto del lavoratore a guadagnarsi la vita con un lavoro liberamente svolto ".                </w:t>
      </w:r>
    </w:p>
    <w:p w14:paraId="28AD3C57" w14:textId="77777777" w:rsidR="00E210CB" w:rsidRPr="00E210CB" w:rsidRDefault="00E210CB" w:rsidP="00E210CB">
      <w:pPr>
        <w:jc w:val="both"/>
      </w:pPr>
      <w:r w:rsidRPr="00E210CB">
        <w:t>54. Nel caso di specie, la Corte rileva che l'iscrizione del nome del ricorrente nel registro dei falliti comporta una serie di incapacità personali previste dalla legge, quali l'impossibilità di essere nominato curatore (articolo 350 del codice civile), il divieto di essere nominato amministratore e curatore di una società commerciale o cooperativa (articoli 2382, 2399, 2417 e 2516 del codice civile), l' esclusione </w:t>
      </w:r>
      <w:r w:rsidRPr="00E210CB">
        <w:rPr>
          <w:i/>
          <w:iCs/>
        </w:rPr>
        <w:t>ex lege </w:t>
      </w:r>
      <w:r w:rsidRPr="00E210CB">
        <w:t>del socio di una società (articoli 2288, 2293 e 2318 del codice civile), l'incapacità di esercitare la professione di curatore (articolo 393 del codice civile), di agente di cambio (articolo 57 della legge n. 272 ​​del 1913), di revisore dei conti (articolo 5 del regio decreto n. 228 del 1937), di arbitro (articolo 812 del codice di procedura civile). Altre incapacità derivano dal fatto che il fallito, non godendo più pienamente dei suoi diritti civili, non può iscriversi a determinati ordini professionali (come avvocati, notai e consulenti aziendali). A giudizio della Corte, tali incapacità, che incidono sulla capacità del ricorrente di intrattenere relazioni con il mondo esterno, rientrano senza dubbio nella sfera della sua vita privata (cfr., </w:t>
      </w:r>
      <w:proofErr w:type="spellStart"/>
      <w:r w:rsidRPr="00E210CB">
        <w:rPr>
          <w:i/>
          <w:iCs/>
        </w:rPr>
        <w:t>mutatis</w:t>
      </w:r>
      <w:proofErr w:type="spellEnd"/>
      <w:r w:rsidRPr="00E210CB">
        <w:rPr>
          <w:i/>
          <w:iCs/>
        </w:rPr>
        <w:t xml:space="preserve"> </w:t>
      </w:r>
      <w:proofErr w:type="spellStart"/>
      <w:proofErr w:type="gramStart"/>
      <w:r w:rsidRPr="00E210CB">
        <w:rPr>
          <w:i/>
          <w:iCs/>
        </w:rPr>
        <w:t>mutandis</w:t>
      </w:r>
      <w:proofErr w:type="spellEnd"/>
      <w:r w:rsidRPr="00E210CB">
        <w:rPr>
          <w:i/>
          <w:iCs/>
        </w:rPr>
        <w:t> </w:t>
      </w:r>
      <w:r w:rsidRPr="00E210CB">
        <w:t>,</w:t>
      </w:r>
      <w:proofErr w:type="gramEnd"/>
      <w:r w:rsidRPr="00E210CB">
        <w:t> </w:t>
      </w:r>
      <w:proofErr w:type="spellStart"/>
      <w:r w:rsidRPr="00E210CB">
        <w:rPr>
          <w:i/>
          <w:iCs/>
        </w:rPr>
        <w:t>Sidabras</w:t>
      </w:r>
      <w:proofErr w:type="spellEnd"/>
      <w:r w:rsidRPr="00E210CB">
        <w:rPr>
          <w:i/>
          <w:iCs/>
        </w:rPr>
        <w:t xml:space="preserve"> e </w:t>
      </w:r>
      <w:proofErr w:type="spellStart"/>
      <w:proofErr w:type="gramStart"/>
      <w:r w:rsidRPr="00E210CB">
        <w:rPr>
          <w:i/>
          <w:iCs/>
        </w:rPr>
        <w:t>Džiautas</w:t>
      </w:r>
      <w:proofErr w:type="spellEnd"/>
      <w:r w:rsidRPr="00E210CB">
        <w:rPr>
          <w:i/>
          <w:iCs/>
        </w:rPr>
        <w:t> </w:t>
      </w:r>
      <w:r w:rsidRPr="00E210CB">
        <w:t>,</w:t>
      </w:r>
      <w:proofErr w:type="gramEnd"/>
      <w:r w:rsidRPr="00E210CB">
        <w:t xml:space="preserve"> cit., § 48). L'articolo 8 della Convenzione è pertanto applicabile al caso di specie.  </w:t>
      </w:r>
      <w:r w:rsidRPr="00E210CB">
        <w:rPr>
          <w:b/>
          <w:bCs/>
        </w:rPr>
        <w:t> </w:t>
      </w:r>
      <w:r w:rsidRPr="00E210CB">
        <w:t>  </w:t>
      </w:r>
    </w:p>
    <w:p w14:paraId="18F09932" w14:textId="77777777" w:rsidR="00E210CB" w:rsidRPr="00E210CB" w:rsidRDefault="00E210CB" w:rsidP="00E210CB">
      <w:pPr>
        <w:jc w:val="both"/>
      </w:pPr>
      <w:r w:rsidRPr="00E210CB">
        <w:rPr>
          <w:i/>
          <w:iCs/>
        </w:rPr>
        <w:t> </w:t>
      </w:r>
    </w:p>
    <w:p w14:paraId="6131C07E" w14:textId="77777777" w:rsidR="00E210CB" w:rsidRPr="00E210CB" w:rsidRDefault="00E210CB" w:rsidP="00E210CB">
      <w:pPr>
        <w:jc w:val="both"/>
      </w:pPr>
      <w:r w:rsidRPr="00E210CB">
        <w:rPr>
          <w:i/>
          <w:iCs/>
        </w:rPr>
        <w:t>2. Osservazione dell'articolo 8 della Convenzione  </w:t>
      </w:r>
    </w:p>
    <w:p w14:paraId="4CB29DDB" w14:textId="77777777" w:rsidR="00E210CB" w:rsidRPr="00E210CB" w:rsidRDefault="00E210CB" w:rsidP="00E210CB">
      <w:pPr>
        <w:jc w:val="both"/>
      </w:pPr>
      <w:r w:rsidRPr="00E210CB">
        <w:t xml:space="preserve">55. Il Governo sostiene che le interdizioni derivanti dall'iscrizione del nome del fallito nel registro dei falliti riguardano esclusivamente l'esercizio delle funzioni di tutela, l'amministrazione di una società e il divieto di ricoprire determinate cariche pubbliche. È, infatti, auspicabile che a una persona non riabilitata, e quindi ritenuta </w:t>
      </w:r>
      <w:proofErr w:type="gramStart"/>
      <w:r w:rsidRPr="00E210CB">
        <w:t>meritevole </w:t>
      </w:r>
      <w:r w:rsidRPr="00E210CB">
        <w:rPr>
          <w:i/>
          <w:iCs/>
        </w:rPr>
        <w:t>,</w:t>
      </w:r>
      <w:proofErr w:type="gramEnd"/>
      <w:r w:rsidRPr="00E210CB">
        <w:rPr>
          <w:i/>
          <w:iCs/>
        </w:rPr>
        <w:t> </w:t>
      </w:r>
      <w:r w:rsidRPr="00E210CB">
        <w:t>non venga affidata la gestione di beni altrui. In quest'ottica, la riabilitazione viene concessa dal giudice solo se le informazioni raccolte dalla polizia giudiziaria sono positive e se non vi sono condanne o procedimenti giudiziari pendenti a carico del fallito.  </w:t>
      </w:r>
    </w:p>
    <w:p w14:paraId="7B5EAC9A" w14:textId="77777777" w:rsidR="00E210CB" w:rsidRPr="00E210CB" w:rsidRDefault="00E210CB" w:rsidP="00E210CB">
      <w:pPr>
        <w:jc w:val="both"/>
      </w:pPr>
      <w:r w:rsidRPr="00E210CB">
        <w:lastRenderedPageBreak/>
        <w:t>56. Il ricorrente sostiene che l'iscrizione del suo nome nel registro dei falliti e gli ostacoli all'ottenimento della riabilitazione costituiscono misure sproporzionate rispetto all'obiettivo di tutela dei creditori. In effetti, tale iscrizione e le numerose incapacità che ne derivano affondano le loro radici nel Rinascimento, periodo in cui la dichiarazione di fallimento era essenzialmente una questione penale.  </w:t>
      </w:r>
    </w:p>
    <w:p w14:paraId="7A108C2C" w14:textId="77777777" w:rsidR="00E210CB" w:rsidRPr="00E210CB" w:rsidRDefault="00E210CB" w:rsidP="00E210CB">
      <w:pPr>
        <w:jc w:val="both"/>
      </w:pPr>
      <w:r w:rsidRPr="00E210CB">
        <w:t xml:space="preserve">57. La Corte rileva che, per essere compatibile con il paragrafo 2 dell'articolo 8, un'ingerenza nell'esercizio di un diritto garantito da tale articolo deve essere " prevista dalla legge ", ispirata da uno o più scopi legittimi ai sensi di tale paragrafo e " necessaria in una società democratica " per il perseguimento di tale scopo o di tali scopi </w:t>
      </w:r>
      <w:proofErr w:type="gramStart"/>
      <w:r w:rsidRPr="00E210CB">
        <w:t>( </w:t>
      </w:r>
      <w:r w:rsidRPr="00E210CB">
        <w:rPr>
          <w:i/>
          <w:iCs/>
        </w:rPr>
        <w:t>Dudgeon</w:t>
      </w:r>
      <w:proofErr w:type="gramEnd"/>
      <w:r w:rsidRPr="00E210CB">
        <w:rPr>
          <w:i/>
          <w:iCs/>
        </w:rPr>
        <w:t xml:space="preserve"> c. Regno </w:t>
      </w:r>
      <w:proofErr w:type="gramStart"/>
      <w:r w:rsidRPr="00E210CB">
        <w:rPr>
          <w:i/>
          <w:iCs/>
        </w:rPr>
        <w:t>Unito </w:t>
      </w:r>
      <w:r w:rsidRPr="00E210CB">
        <w:t>,</w:t>
      </w:r>
      <w:proofErr w:type="gramEnd"/>
      <w:r w:rsidRPr="00E210CB">
        <w:t xml:space="preserve"> sentenza del 22 ottobre 1981, serie A </w:t>
      </w:r>
      <w:proofErr w:type="gramStart"/>
      <w:r w:rsidRPr="00E210CB">
        <w:t>n .</w:t>
      </w:r>
      <w:proofErr w:type="gramEnd"/>
      <w:r w:rsidRPr="00E210CB">
        <w:t> 45, § 43).      </w:t>
      </w:r>
    </w:p>
    <w:p w14:paraId="67DE7A7B" w14:textId="77777777" w:rsidR="00E210CB" w:rsidRPr="00E210CB" w:rsidRDefault="00E210CB" w:rsidP="00E210CB">
      <w:pPr>
        <w:jc w:val="both"/>
      </w:pPr>
      <w:r w:rsidRPr="00E210CB">
        <w:t>58. Alla luce delle considerazioni che precedono, la Corte osserva che le suddette incapacità costituiscono chiaramente un'ingerenza nel diritto del ricorrente al rispetto della sua vita privata e rileva che tale ingerenza è prevista dalla legge, in particolare dall'articolo 50 della legge fallimentare e dalla legislazione speciale, di cui si è già parlato in precedenza.  </w:t>
      </w:r>
    </w:p>
    <w:p w14:paraId="5D0D9C52" w14:textId="77777777" w:rsidR="00E210CB" w:rsidRPr="00E210CB" w:rsidRDefault="00E210CB" w:rsidP="00E210CB">
      <w:pPr>
        <w:jc w:val="both"/>
      </w:pPr>
      <w:r w:rsidRPr="00E210CB">
        <w:t>59. Quanto all'obiettivo perseguito, la Corte esprime dubbi sulla legittimità di questa normativa speciale, poiché la maggior parte delle incapacità menzionate hanno natura di sanzione di carattere morale, come implicitamente ammette il Governo.  </w:t>
      </w:r>
    </w:p>
    <w:p w14:paraId="6E32D53F" w14:textId="77777777" w:rsidR="00E210CB" w:rsidRPr="00E210CB" w:rsidRDefault="00E210CB" w:rsidP="00E210CB">
      <w:pPr>
        <w:jc w:val="both"/>
      </w:pPr>
      <w:r w:rsidRPr="00E210CB">
        <w:t>60. Al contempo, la Corte riconosce che talune incapacità perseguono l'obiettivo di tutelare i diritti altrui. È il caso, ad esempio, dell'esclusione </w:t>
      </w:r>
      <w:r w:rsidRPr="00E210CB">
        <w:rPr>
          <w:i/>
          <w:iCs/>
        </w:rPr>
        <w:t>ex lege di un socio fallito da una società, il cui scopo è quello di proteggere la </w:t>
      </w:r>
      <w:r w:rsidRPr="00E210CB">
        <w:t>società </w:t>
      </w:r>
      <w:r w:rsidRPr="00E210CB">
        <w:rPr>
          <w:i/>
          <w:iCs/>
        </w:rPr>
        <w:t>solvibile </w:t>
      </w:r>
      <w:r w:rsidRPr="00E210CB">
        <w:t xml:space="preserve">dagli effetti dell'insolvenza personale del socio (cfr. </w:t>
      </w:r>
      <w:proofErr w:type="gramStart"/>
      <w:r w:rsidRPr="00E210CB">
        <w:t>Corte di Cassazione</w:t>
      </w:r>
      <w:proofErr w:type="gramEnd"/>
      <w:r w:rsidRPr="00E210CB">
        <w:t xml:space="preserve">, sentenza </w:t>
      </w:r>
      <w:proofErr w:type="gramStart"/>
      <w:r w:rsidRPr="00E210CB">
        <w:t>n .</w:t>
      </w:r>
      <w:proofErr w:type="gramEnd"/>
      <w:r w:rsidRPr="00E210CB">
        <w:t> 75 del 1991).  </w:t>
      </w:r>
    </w:p>
    <w:p w14:paraId="2F2BBB76" w14:textId="77777777" w:rsidR="00E210CB" w:rsidRPr="00E210CB" w:rsidRDefault="00E210CB" w:rsidP="00E210CB">
      <w:pPr>
        <w:jc w:val="both"/>
      </w:pPr>
      <w:r w:rsidRPr="00E210CB">
        <w:t>61. La Corte ritiene che un'analisi esaustiva degli obiettivi di ciascuna incapacità sia resa difficile dall'abbondanza di normative specifiche in materia.  </w:t>
      </w:r>
    </w:p>
    <w:p w14:paraId="3BC37529" w14:textId="77777777" w:rsidR="00E210CB" w:rsidRPr="00E210CB" w:rsidRDefault="00E210CB" w:rsidP="00E210CB">
      <w:pPr>
        <w:jc w:val="both"/>
      </w:pPr>
      <w:r w:rsidRPr="00E210CB">
        <w:t>62. Tuttavia, anche supponendo che gli obiettivi dell'articolo 50 della legge fallimentare e della relativa legislazione speciale non siano illegittimi, l'ingerenza in questione deve comunque essere " necessaria in una società democratica " ai sensi dell'articolo 8 § 2 della Convenzione.    </w:t>
      </w:r>
    </w:p>
    <w:p w14:paraId="547270D2" w14:textId="77777777" w:rsidR="00E210CB" w:rsidRPr="00E210CB" w:rsidRDefault="00E210CB" w:rsidP="00E210CB">
      <w:pPr>
        <w:jc w:val="both"/>
      </w:pPr>
      <w:r w:rsidRPr="00E210CB">
        <w:t>63. La Corte rileva che le incapacità in questione non sono il risultato di una decisione giudiziaria, ma costituiscono una conseguenza automatica del fallimento.  </w:t>
      </w:r>
    </w:p>
    <w:p w14:paraId="455F1AB4" w14:textId="77777777" w:rsidR="00E210CB" w:rsidRPr="00E210CB" w:rsidRDefault="00E210CB" w:rsidP="00E210CB">
      <w:pPr>
        <w:jc w:val="both"/>
      </w:pPr>
      <w:r w:rsidRPr="00E210CB">
        <w:t>Inoltre, a differenza di alcune incapacità destinate a proteggere i creditori dal fallimento (come le limitazioni al diritto di proprietà, di corrispondenza o di libertà di movimento), che iniziano con la dichiarazione di fallimento e terminano con la chiusura della procedura, le incapacità derivanti dall'iscrizione del nome del fallito nel registro cessano solo una volta ottenuta la cancellazione di tale iscrizione.</w:t>
      </w:r>
    </w:p>
    <w:p w14:paraId="6C90533D" w14:textId="77777777" w:rsidR="00E210CB" w:rsidRPr="00E210CB" w:rsidRDefault="00E210CB" w:rsidP="00E210CB">
      <w:pPr>
        <w:jc w:val="both"/>
      </w:pPr>
      <w:r w:rsidRPr="00E210CB">
        <w:t>64. Quest'ultima si realizza con la riabilitazione civile, la quale, al di là dei presupposti dell'integrale pagamento dei crediti e della regolare esecuzione del concordato fallimentare, può essere richiesta solo dal fallito che abbia dimostrato " effettiva e costante buona condotta " per almeno cinque anni dalla chiusura della procedura (art. 143 L. Fall.).    </w:t>
      </w:r>
    </w:p>
    <w:p w14:paraId="77D641EB" w14:textId="77777777" w:rsidR="00E210CB" w:rsidRPr="00E210CB" w:rsidRDefault="00E210CB" w:rsidP="00E210CB">
      <w:pPr>
        <w:jc w:val="both"/>
      </w:pPr>
      <w:r w:rsidRPr="00E210CB">
        <w:lastRenderedPageBreak/>
        <w:t>In quest'ultimo caso, che si verifica nel caso del ricorrente, l'obiettivo non è quello di tutelare i creditori dal fallimento, bensì quello di riparare il danno arrecato dal fallimento al </w:t>
      </w:r>
      <w:r w:rsidRPr="00E210CB">
        <w:rPr>
          <w:i/>
          <w:iCs/>
        </w:rPr>
        <w:t xml:space="preserve">bene </w:t>
      </w:r>
      <w:proofErr w:type="gramStart"/>
      <w:r w:rsidRPr="00E210CB">
        <w:rPr>
          <w:i/>
          <w:iCs/>
        </w:rPr>
        <w:t>pubblico </w:t>
      </w:r>
      <w:r w:rsidRPr="00E210CB">
        <w:t>.</w:t>
      </w:r>
      <w:proofErr w:type="gramEnd"/>
      <w:r w:rsidRPr="00E210CB">
        <w:t xml:space="preserve"> Infatti, l'espressione " buona condotta " va intesa come comportamento moralmente corretto del fallito nei confronti della società (cfr. </w:t>
      </w:r>
      <w:r w:rsidRPr="00E210CB">
        <w:rPr>
          <w:i/>
          <w:iCs/>
        </w:rPr>
        <w:t xml:space="preserve">La crisi d'impresa, il </w:t>
      </w:r>
      <w:proofErr w:type="gramStart"/>
      <w:r w:rsidRPr="00E210CB">
        <w:rPr>
          <w:i/>
          <w:iCs/>
        </w:rPr>
        <w:t>fallimento </w:t>
      </w:r>
      <w:r w:rsidRPr="00E210CB">
        <w:t>,</w:t>
      </w:r>
      <w:proofErr w:type="gramEnd"/>
      <w:r w:rsidRPr="00E210CB">
        <w:t xml:space="preserve"> cit., p. 748).  </w:t>
      </w:r>
    </w:p>
    <w:p w14:paraId="71ABD0D3" w14:textId="77777777" w:rsidR="00E210CB" w:rsidRPr="00E210CB" w:rsidRDefault="00E210CB" w:rsidP="00E210CB">
      <w:pPr>
        <w:jc w:val="both"/>
      </w:pPr>
      <w:r w:rsidRPr="00E210CB">
        <w:t>Il ripristino delle capacità personali del ricorrente dipende pertanto da un giudizio di natura essenzialmente morale concernente la sua dignità.</w:t>
      </w:r>
    </w:p>
    <w:p w14:paraId="6777239D" w14:textId="77777777" w:rsidR="00E210CB" w:rsidRPr="00E210CB" w:rsidRDefault="00E210CB" w:rsidP="00E210CB">
      <w:pPr>
        <w:jc w:val="both"/>
      </w:pPr>
      <w:r w:rsidRPr="00E210CB">
        <w:t>65. Pur ricordando che la procedura fallimentare in questione rientra nel diritto civile e non nel diritto penale, la Corte rileva di aver già constatato una violazione dell'articolo 8 della Convenzione, relativo al diritto al rispetto della vita familiare, dovuta all'applicazione automatica e assoluta di una pena accessoria, vale a dire il divieto di esercitare la potestà genitoriale, a chiunque sconti una pena detentiva, senza alcun controllo da parte del giudice (vedi </w:t>
      </w:r>
      <w:proofErr w:type="spellStart"/>
      <w:r w:rsidRPr="00E210CB">
        <w:rPr>
          <w:i/>
          <w:iCs/>
        </w:rPr>
        <w:t>Sabou</w:t>
      </w:r>
      <w:proofErr w:type="spellEnd"/>
      <w:r w:rsidRPr="00E210CB">
        <w:rPr>
          <w:i/>
          <w:iCs/>
        </w:rPr>
        <w:t xml:space="preserve"> e </w:t>
      </w:r>
      <w:proofErr w:type="spellStart"/>
      <w:r w:rsidRPr="00E210CB">
        <w:rPr>
          <w:i/>
          <w:iCs/>
        </w:rPr>
        <w:t>Pircalab</w:t>
      </w:r>
      <w:proofErr w:type="spellEnd"/>
      <w:r w:rsidRPr="00E210CB">
        <w:rPr>
          <w:i/>
          <w:iCs/>
        </w:rPr>
        <w:t> </w:t>
      </w:r>
      <w:r w:rsidRPr="00E210CB">
        <w:t>, cit., § 48).  </w:t>
      </w:r>
    </w:p>
    <w:p w14:paraId="609E2CB4" w14:textId="77777777" w:rsidR="00E210CB" w:rsidRPr="00E210CB" w:rsidRDefault="00E210CB" w:rsidP="00E210CB">
      <w:pPr>
        <w:jc w:val="both"/>
      </w:pPr>
      <w:r w:rsidRPr="00E210CB">
        <w:t>Inoltre, nel caso </w:t>
      </w:r>
      <w:r w:rsidRPr="00E210CB">
        <w:rPr>
          <w:i/>
          <w:iCs/>
        </w:rPr>
        <w:t>Hirst </w:t>
      </w:r>
      <w:r w:rsidRPr="00E210CB">
        <w:t>(citato sopra, § 82), la Corte ha condannato la privazione del diritto di voto dei detenuti perché tale misura costituiva una restrizione globale, automatica e indifferenziata di un diritto sancito dalla Convenzione.</w:t>
      </w:r>
    </w:p>
    <w:p w14:paraId="2F25DA18" w14:textId="77777777" w:rsidR="00E210CB" w:rsidRPr="00E210CB" w:rsidRDefault="00E210CB" w:rsidP="00E210CB">
      <w:pPr>
        <w:jc w:val="both"/>
      </w:pPr>
      <w:r w:rsidRPr="00E210CB">
        <w:t>Infine, la Corte ricorda il caso </w:t>
      </w:r>
      <w:r w:rsidRPr="00E210CB">
        <w:rPr>
          <w:i/>
          <w:iCs/>
        </w:rPr>
        <w:t>PG c. Italia </w:t>
      </w:r>
      <w:r w:rsidRPr="00E210CB">
        <w:t>(</w:t>
      </w:r>
      <w:proofErr w:type="gramStart"/>
      <w:r w:rsidRPr="00E210CB">
        <w:t>n .</w:t>
      </w:r>
      <w:proofErr w:type="gramEnd"/>
      <w:r w:rsidRPr="00E210CB">
        <w:t> </w:t>
      </w:r>
      <w:hyperlink r:id="rId19" w:anchor="{%22appno%22:[%2222716/93%22]}" w:tgtFrame="_blank" w:history="1">
        <w:r w:rsidRPr="00E210CB">
          <w:rPr>
            <w:rStyle w:val="Collegamentoipertestuale"/>
          </w:rPr>
          <w:t>22716/93</w:t>
        </w:r>
      </w:hyperlink>
      <w:r w:rsidRPr="00E210CB">
        <w:t> , relazione della Commissione del 26 giugno 1996), riguardante il fallimento di una società di fatto tra un padre e suo figlio (minorenne all'epoca dei fatti). La Commissione ha concluso che vi era stata violazione dell'articolo 8 della Convenzione, riguardante il diritto del minore al rispetto della propria vita privata. Ha ritenuto che il rigetto da parte del tribunale fallimentare della domanda di riabilitazione del ricorrente, per il solo motivo che non erano ancora trascorsi cinque anni dalla chiusura della procedura, costituisse un'ingerenza sproporzionata da parte dello Stato rispetto all'obiettivo di tutelare i creditori fallimentari. Secondo la Commissione, il tribunale avrebbe dovuto tenere conto delle circostanze specifiche del caso, vale a dire, tra l'altro, il fatto che il ricorrente era minorenne all'epoca dei fatti e che suo padre gestiva successivamente la società fallita. </w:t>
      </w:r>
    </w:p>
    <w:p w14:paraId="5A2CA95A" w14:textId="77777777" w:rsidR="00E210CB" w:rsidRPr="00E210CB" w:rsidRDefault="00E210CB" w:rsidP="00E210CB">
      <w:pPr>
        <w:jc w:val="both"/>
      </w:pPr>
      <w:r w:rsidRPr="00E210CB">
        <w:t>66. La Corte ritiene pertanto che, a causa dell'automaticità dell'iscrizione del nome del fallito nel registro e dell'assenza di valutazione e controllo giurisdizionale sull'applicazione delle relative incapacità, nonché dei termini previsti per ottenere la riabilitazione, l'ingerenza prevista dall'articolo 50 della legge fallimentare nel diritto del ricorrente al rispetto della sua vita privata non sia " necessaria in una società democratica " ai sensi dell'articolo 8 § 2 della Convenzione.    </w:t>
      </w:r>
    </w:p>
    <w:p w14:paraId="7E69CB57" w14:textId="77777777" w:rsidR="00E210CB" w:rsidRPr="00E210CB" w:rsidRDefault="00E210CB" w:rsidP="00E210CB">
      <w:pPr>
        <w:jc w:val="both"/>
      </w:pPr>
      <w:r w:rsidRPr="00E210CB">
        <w:t>Pertanto, vi è stata violazione dell'articolo 8 della Convenzione.</w:t>
      </w:r>
    </w:p>
    <w:p w14:paraId="3BAACD27" w14:textId="77777777" w:rsidR="00E210CB" w:rsidRPr="00E210CB" w:rsidRDefault="00E210CB" w:rsidP="00E210CB">
      <w:pPr>
        <w:jc w:val="both"/>
      </w:pPr>
      <w:r w:rsidRPr="00E210CB">
        <w:t>IV. SULLA PRESUNTA VIOLAZIONE DELL'ARTICOLO 13 DELLA CONVENZIONE  </w:t>
      </w:r>
    </w:p>
    <w:p w14:paraId="228D3772" w14:textId="77777777" w:rsidR="00E210CB" w:rsidRPr="00E210CB" w:rsidRDefault="00E210CB" w:rsidP="00E210CB">
      <w:pPr>
        <w:jc w:val="both"/>
      </w:pPr>
      <w:r w:rsidRPr="00E210CB">
        <w:t xml:space="preserve">67. Invocando l'articolo 13 della Convenzione, il ricorrente lamenta di non disporre di un rimedio effettivo per lamentare le incapacità finanziarie e personali che lo colpiscono per tutta la durata della procedura fallimentare e fino all'ottenimento della riabilitazione. Tale articolo è formulato come </w:t>
      </w:r>
      <w:proofErr w:type="gramStart"/>
      <w:r w:rsidRPr="00E210CB">
        <w:t>segue :</w:t>
      </w:r>
      <w:proofErr w:type="gramEnd"/>
      <w:r w:rsidRPr="00E210CB">
        <w:t>   </w:t>
      </w:r>
    </w:p>
    <w:p w14:paraId="1E94E7EF" w14:textId="77777777" w:rsidR="00E210CB" w:rsidRPr="00E210CB" w:rsidRDefault="00E210CB" w:rsidP="00E210CB">
      <w:pPr>
        <w:jc w:val="both"/>
      </w:pPr>
      <w:r w:rsidRPr="00E210CB">
        <w:lastRenderedPageBreak/>
        <w:t> " Chiunque i cui diritti e le cui libertà riconosciuti nella presente Convenzione siano stati violati ha diritto a un ricorso effettivo davanti a un'istanza nazionale, anche se la violazione è stata commessa da persone che agiscono nell'esercizio delle loro funzioni ufficiali. "  </w:t>
      </w:r>
    </w:p>
    <w:p w14:paraId="5192754B" w14:textId="77777777" w:rsidR="00E210CB" w:rsidRPr="00E210CB" w:rsidRDefault="00E210CB" w:rsidP="00E210CB">
      <w:pPr>
        <w:jc w:val="both"/>
      </w:pPr>
      <w:r w:rsidRPr="00E210CB">
        <w:rPr>
          <w:b/>
          <w:bCs/>
        </w:rPr>
        <w:t>A. Sull'ammissibilità  </w:t>
      </w:r>
    </w:p>
    <w:p w14:paraId="7AAAA44C" w14:textId="77777777" w:rsidR="00E210CB" w:rsidRPr="00E210CB" w:rsidRDefault="00E210CB" w:rsidP="00E210CB">
      <w:pPr>
        <w:jc w:val="both"/>
      </w:pPr>
      <w:r w:rsidRPr="00E210CB">
        <w:t>68. Secondo il Governo, il ricorrente avrebbe potuto presentare ricorso contro la sentenza di fallimento ai sensi dell'articolo 18 della Legge Fallimentare, contestando così le conseguenti incapacità finanziarie e personali. Avrebbe potuto inoltre presentare ricorso ai sensi degli articoli 26 e 36 della Legge Fallimentare.  </w:t>
      </w:r>
    </w:p>
    <w:p w14:paraId="7F6DE095" w14:textId="77777777" w:rsidR="00E210CB" w:rsidRPr="00E210CB" w:rsidRDefault="00E210CB" w:rsidP="00E210CB">
      <w:pPr>
        <w:jc w:val="both"/>
      </w:pPr>
      <w:r w:rsidRPr="00E210CB">
        <w:t>69. Il ricorrente sostiene che la procedura di opposizione non costituisce un rimedio efficace per lamentare la prolungata limitazione delle capacità personali e finanziarie del fallito.  </w:t>
      </w:r>
    </w:p>
    <w:p w14:paraId="354DA067" w14:textId="77777777" w:rsidR="00E210CB" w:rsidRPr="00E210CB" w:rsidRDefault="00E210CB" w:rsidP="00E210CB">
      <w:pPr>
        <w:jc w:val="both"/>
      </w:pPr>
      <w:r w:rsidRPr="00E210CB">
        <w:t>70. La Corte ribadisce che, secondo la sua giurisprudenza consolidata, l'articolo 13 della Convenzione richiede un ricorso interno solo per i motivi di ricorso che possono essere considerati " difendibili " ai sensi della Convenzione. Esso garantisce l'esistenza nel diritto interno di un ricorso che consenta di invocare la sostanza dei diritti e delle libertà sanciti dalla Convenzione, come in essa sanciti. Tale disposizione richiede pertanto un ricorso interno che autorizzi l'"autorità nazionale competente " a esaminare la sostanza del motivo di ricorso fondato sulla Convenzione e a proporre il ricorso appropriato. Il ricorso deve essere " effettivo " sia in pratica che in diritto (cfr. </w:t>
      </w:r>
      <w:proofErr w:type="spellStart"/>
      <w:r w:rsidRPr="00E210CB">
        <w:rPr>
          <w:i/>
          <w:iCs/>
        </w:rPr>
        <w:t>Soering</w:t>
      </w:r>
      <w:proofErr w:type="spellEnd"/>
      <w:r w:rsidRPr="00E210CB">
        <w:rPr>
          <w:i/>
          <w:iCs/>
        </w:rPr>
        <w:t xml:space="preserve"> c. Regno </w:t>
      </w:r>
      <w:proofErr w:type="gramStart"/>
      <w:r w:rsidRPr="00E210CB">
        <w:rPr>
          <w:i/>
          <w:iCs/>
        </w:rPr>
        <w:t>Unito </w:t>
      </w:r>
      <w:r w:rsidRPr="00E210CB">
        <w:t>,</w:t>
      </w:r>
      <w:proofErr w:type="gramEnd"/>
      <w:r w:rsidRPr="00E210CB">
        <w:t xml:space="preserve"> sentenza del 7 luglio 1989, serie A </w:t>
      </w:r>
      <w:proofErr w:type="gramStart"/>
      <w:r w:rsidRPr="00E210CB">
        <w:t>n .</w:t>
      </w:r>
      <w:proofErr w:type="gramEnd"/>
      <w:r w:rsidRPr="00E210CB">
        <w:t> 161, § 120, e </w:t>
      </w:r>
      <w:proofErr w:type="spellStart"/>
      <w:r w:rsidRPr="00E210CB">
        <w:rPr>
          <w:i/>
          <w:iCs/>
        </w:rPr>
        <w:t>Rotaru</w:t>
      </w:r>
      <w:proofErr w:type="spellEnd"/>
      <w:r w:rsidRPr="00E210CB">
        <w:rPr>
          <w:i/>
          <w:iCs/>
        </w:rPr>
        <w:t xml:space="preserve"> c. Romania </w:t>
      </w:r>
      <w:r w:rsidRPr="00E210CB">
        <w:t>[GC], n. 28341/95 </w:t>
      </w:r>
      <w:hyperlink r:id="rId20" w:anchor="{%22appno%22:[%2228341/95%22]}" w:tgtFrame="_blank" w:history="1">
        <w:r w:rsidRPr="00E210CB">
          <w:rPr>
            <w:rStyle w:val="Collegamentoipertestuale"/>
          </w:rPr>
          <w:t>,</w:t>
        </w:r>
      </w:hyperlink>
      <w:r w:rsidRPr="00E210CB">
        <w:t> CEDU 2000-V, § 67).         </w:t>
      </w:r>
    </w:p>
    <w:p w14:paraId="7E0F5506" w14:textId="77777777" w:rsidR="00E210CB" w:rsidRPr="00E210CB" w:rsidRDefault="00E210CB" w:rsidP="00E210CB">
      <w:pPr>
        <w:jc w:val="both"/>
      </w:pPr>
      <w:r w:rsidRPr="00E210CB">
        <w:t>71. Per quanto riguarda la parte del ricorso relativa alla prolungata restrizione del diritto al rispetto dei beni (articolo 1 del Protocollo n. </w:t>
      </w:r>
      <w:proofErr w:type="gramStart"/>
      <w:r w:rsidRPr="00E210CB">
        <w:t>1 )</w:t>
      </w:r>
      <w:proofErr w:type="gramEnd"/>
      <w:r w:rsidRPr="00E210CB">
        <w:t>, alla corrispondenza (articolo 8 della Convenzione) e alla libertà di circolazione (articolo 2 del Protocollo n. </w:t>
      </w:r>
      <w:proofErr w:type="gramStart"/>
      <w:r w:rsidRPr="00E210CB">
        <w:t>4 )</w:t>
      </w:r>
      <w:proofErr w:type="gramEnd"/>
      <w:r w:rsidRPr="00E210CB">
        <w:t>, la Corte ricorda la sua conclusione secondo cui il ricorso era irricevibile. Di conseguenza, ritiene che, poiché non si tratta di censure " difendibili " ai sensi della Convenzione, tale parte del ricorso debba essere respinta in quanto manifestamente infondata ai sensi dell'articolo 35 §§ 3 e 4 della Convenzione.    </w:t>
      </w:r>
    </w:p>
    <w:p w14:paraId="2D3DBD91" w14:textId="77777777" w:rsidR="00E210CB" w:rsidRPr="00E210CB" w:rsidRDefault="00E210CB" w:rsidP="00E210CB">
      <w:pPr>
        <w:jc w:val="both"/>
      </w:pPr>
      <w:r w:rsidRPr="00E210CB">
        <w:t>72. Per quanto riguarda la parte del ricorso relativa alle incapacità personali derivanti dall'iscrizione del nome del fallito nel registro dei falliti e che permangono fino all'ottenimento della riabilitazione civile, la Corte ritiene che tale ricorso non sia manifestamente infondato ai sensi dell'articolo 35 § 3 della Convenzione. Rileva inoltre che non è irricevibile per altri motivi. Deve pertanto essere dichiarato ricevibile.  </w:t>
      </w:r>
    </w:p>
    <w:p w14:paraId="349E3D37" w14:textId="77777777" w:rsidR="00E210CB" w:rsidRPr="00E210CB" w:rsidRDefault="00E210CB" w:rsidP="00E210CB">
      <w:pPr>
        <w:jc w:val="both"/>
      </w:pPr>
      <w:r w:rsidRPr="00E210CB">
        <w:rPr>
          <w:b/>
          <w:bCs/>
        </w:rPr>
        <w:t>B. Nel merito  </w:t>
      </w:r>
    </w:p>
    <w:p w14:paraId="359F4325" w14:textId="77777777" w:rsidR="00E210CB" w:rsidRPr="00E210CB" w:rsidRDefault="00E210CB" w:rsidP="00E210CB">
      <w:pPr>
        <w:jc w:val="both"/>
      </w:pPr>
      <w:r w:rsidRPr="00E210CB">
        <w:t>73. La Corte rileva di aver concluso che vi è stata violazione dell'articolo 8 della Convenzione per quanto riguarda il diritto del ricorrente al rispetto della sua vita privata, a causa della limitazione delle sue capacità personali derivante dall'iscrizione del suo nome nel registro dei fallimenti e che permane fino all'ottenimento della riabilitazione civile. Tale doglianza è pertanto indiscutibilmente " difendibile " ai sensi della Convenzione. Il ricorrente aveva quindi diritto a un ricorso interno effettivo ai sensi dell'articolo 13 della Convenzione.    </w:t>
      </w:r>
    </w:p>
    <w:p w14:paraId="39DFA5F4" w14:textId="77777777" w:rsidR="00E210CB" w:rsidRPr="00E210CB" w:rsidRDefault="00E210CB" w:rsidP="00E210CB">
      <w:pPr>
        <w:jc w:val="both"/>
      </w:pPr>
      <w:r w:rsidRPr="00E210CB">
        <w:lastRenderedPageBreak/>
        <w:t>74. La Corte osserva che il ricorso contro una sentenza dichiarativa di fallimento, disciplinato dall'articolo 18 della legge fallimentare, prevede la possibilità per il fallito di proporre ricorso dinanzi al tribunale entro quindici giorni dalla conoscenza della sentenza dichiarativa di fallimento per contestarne la legittimità e ottenerne la revoca. A giudizio della Corte, tale ricorso non costituisce pertanto un rimedio efficace per lamentare la limitazione della capacità personale del ricorrente che perdura fino all'ottenimento della riabilitazione civile, in particolare in considerazione del termine per la proposizione di tale ricorso (cfr. </w:t>
      </w:r>
      <w:r w:rsidRPr="00E210CB">
        <w:rPr>
          <w:i/>
          <w:iCs/>
        </w:rPr>
        <w:t xml:space="preserve">Neroni c. </w:t>
      </w:r>
      <w:proofErr w:type="gramStart"/>
      <w:r w:rsidRPr="00E210CB">
        <w:rPr>
          <w:i/>
          <w:iCs/>
        </w:rPr>
        <w:t>Italia </w:t>
      </w:r>
      <w:r w:rsidRPr="00E210CB">
        <w:t>,</w:t>
      </w:r>
      <w:proofErr w:type="gramEnd"/>
      <w:r w:rsidRPr="00E210CB">
        <w:t xml:space="preserve"> </w:t>
      </w:r>
      <w:proofErr w:type="gramStart"/>
      <w:r w:rsidRPr="00E210CB">
        <w:t>n .</w:t>
      </w:r>
      <w:proofErr w:type="gramEnd"/>
      <w:r w:rsidRPr="00E210CB">
        <w:t> </w:t>
      </w:r>
      <w:hyperlink r:id="rId21" w:anchor="{%22appno%22:[%227503/02%22]}" w:tgtFrame="_blank" w:history="1">
        <w:r w:rsidRPr="00E210CB">
          <w:rPr>
            <w:rStyle w:val="Collegamentoipertestuale"/>
          </w:rPr>
          <w:t>7503/02</w:t>
        </w:r>
      </w:hyperlink>
      <w:r w:rsidRPr="00E210CB">
        <w:t> , § 35, 22 aprile 2004).  </w:t>
      </w:r>
    </w:p>
    <w:p w14:paraId="53EE4E5E" w14:textId="77777777" w:rsidR="00E210CB" w:rsidRPr="00E210CB" w:rsidRDefault="00E210CB" w:rsidP="00E210CB">
      <w:pPr>
        <w:jc w:val="both"/>
      </w:pPr>
      <w:r w:rsidRPr="00E210CB">
        <w:t>75. Inoltre, la Corte osserva che, sebbene l'articolo 26 della legge fallimentare preveda la possibilità per il fallito di proporre un'azione dinanzi al tribunale, tale azione è limitata alle decisioni del giudice delegato e pertanto non può costituire un rimedio efficace contro il prolungamento dell'incapacità del fallito, che è una conseguenza diretta della sentenza che dichiara il fallimento o dell'iscrizione del nome del fallito nel registro dei falliti, e non di una decisione del giudice delegato.  </w:t>
      </w:r>
    </w:p>
    <w:p w14:paraId="784145FC" w14:textId="77777777" w:rsidR="00E210CB" w:rsidRPr="00E210CB" w:rsidRDefault="00E210CB" w:rsidP="00E210CB">
      <w:pPr>
        <w:jc w:val="both"/>
      </w:pPr>
      <w:r w:rsidRPr="00E210CB">
        <w:t xml:space="preserve">Quanto all'articolo 36 della legge fallimentare, esso prevede la possibilità di ricorrere al giudice delegato per contestare l'operato amministrativo del curatore fallimentare. Tuttavia, la Corte osserva che tale rimedio riguarda l'attività del curatore fallimentare nell'amministrazione dei beni del fallito fino alla vendita degli stessi e al soddisfacimento dei creditori. Esso non può pertanto in alcun modo porre rimedio al prolungamento dell'incapacità del fallito </w:t>
      </w:r>
      <w:proofErr w:type="gramStart"/>
      <w:r w:rsidRPr="00E210CB">
        <w:t>( </w:t>
      </w:r>
      <w:r w:rsidRPr="00E210CB">
        <w:rPr>
          <w:i/>
          <w:iCs/>
        </w:rPr>
        <w:t>Bottaro</w:t>
      </w:r>
      <w:proofErr w:type="gramEnd"/>
      <w:r w:rsidRPr="00E210CB">
        <w:rPr>
          <w:i/>
          <w:iCs/>
        </w:rPr>
        <w:t> </w:t>
      </w:r>
      <w:r w:rsidRPr="00E210CB">
        <w:t>, cit., § 45, e </w:t>
      </w:r>
      <w:proofErr w:type="spellStart"/>
      <w:r w:rsidRPr="00E210CB">
        <w:rPr>
          <w:i/>
          <w:iCs/>
        </w:rPr>
        <w:t>Ceteroni</w:t>
      </w:r>
      <w:proofErr w:type="spellEnd"/>
      <w:r w:rsidRPr="00E210CB">
        <w:rPr>
          <w:i/>
          <w:iCs/>
        </w:rPr>
        <w:t xml:space="preserve"> e Magri c. </w:t>
      </w:r>
      <w:proofErr w:type="gramStart"/>
      <w:r w:rsidRPr="00E210CB">
        <w:rPr>
          <w:i/>
          <w:iCs/>
        </w:rPr>
        <w:t>Italia </w:t>
      </w:r>
      <w:r w:rsidRPr="00E210CB">
        <w:t>,</w:t>
      </w:r>
      <w:proofErr w:type="gramEnd"/>
      <w:r w:rsidRPr="00E210CB">
        <w:t xml:space="preserve"> ricorsi </w:t>
      </w:r>
      <w:proofErr w:type="spellStart"/>
      <w:proofErr w:type="gramStart"/>
      <w:r w:rsidRPr="00E210CB">
        <w:t>nn</w:t>
      </w:r>
      <w:proofErr w:type="spellEnd"/>
      <w:r w:rsidRPr="00E210CB">
        <w:t> .</w:t>
      </w:r>
      <w:proofErr w:type="gramEnd"/>
      <w:r w:rsidRPr="00E210CB">
        <w:t> </w:t>
      </w:r>
      <w:hyperlink r:id="rId22" w:anchor="{%22appno%22:[%2222461/93%22]}" w:tgtFrame="_blank" w:history="1">
        <w:r w:rsidRPr="00E210CB">
          <w:rPr>
            <w:rStyle w:val="Collegamentoipertestuale"/>
          </w:rPr>
          <w:t>22461/93</w:t>
        </w:r>
      </w:hyperlink>
      <w:r w:rsidRPr="00E210CB">
        <w:t> e </w:t>
      </w:r>
      <w:hyperlink r:id="rId23" w:anchor="{%22appno%22:[%2222465/93%22]}" w:tgtFrame="_blank" w:history="1">
        <w:r w:rsidRPr="00E210CB">
          <w:rPr>
            <w:rStyle w:val="Collegamentoipertestuale"/>
          </w:rPr>
          <w:t>22465/93</w:t>
        </w:r>
      </w:hyperlink>
      <w:r w:rsidRPr="00E210CB">
        <w:t> , decisione della Commissione del 17 ottobre 1994).</w:t>
      </w:r>
      <w:r w:rsidRPr="00E210CB">
        <w:rPr>
          <w:i/>
          <w:iCs/>
        </w:rPr>
        <w:t>  </w:t>
      </w:r>
      <w:r w:rsidRPr="00E210CB">
        <w:t> </w:t>
      </w:r>
    </w:p>
    <w:p w14:paraId="7B26CC94" w14:textId="77777777" w:rsidR="00E210CB" w:rsidRPr="00E210CB" w:rsidRDefault="00E210CB" w:rsidP="00E210CB">
      <w:pPr>
        <w:jc w:val="both"/>
      </w:pPr>
      <w:r w:rsidRPr="00E210CB">
        <w:t>76. Inoltre, la Corte ricorda di aver riscontrato una violazione dell'articolo 13 della Convenzione per quanto riguarda la mancanza, nel diritto interno, di un ricorso effettivo per lamentare il prolungato controllo della corrispondenza del fallito (vedi </w:t>
      </w:r>
      <w:proofErr w:type="gramStart"/>
      <w:r w:rsidRPr="00E210CB">
        <w:rPr>
          <w:i/>
          <w:iCs/>
        </w:rPr>
        <w:t>Bottaro </w:t>
      </w:r>
      <w:r w:rsidRPr="00E210CB">
        <w:t>,</w:t>
      </w:r>
      <w:proofErr w:type="gramEnd"/>
      <w:r w:rsidRPr="00E210CB">
        <w:t xml:space="preserve"> citato sopra, §§ 41-46).  </w:t>
      </w:r>
    </w:p>
    <w:p w14:paraId="1A8349AC" w14:textId="77777777" w:rsidR="00E210CB" w:rsidRPr="00E210CB" w:rsidRDefault="00E210CB" w:rsidP="00E210CB">
      <w:pPr>
        <w:jc w:val="both"/>
      </w:pPr>
      <w:r w:rsidRPr="00E210CB">
        <w:t>77. Alla luce di quanto precede, la Corte conclude che vi è stata violazione dell'articolo 13 della Convenzione.  </w:t>
      </w:r>
    </w:p>
    <w:p w14:paraId="39AE015C" w14:textId="77777777" w:rsidR="00E210CB" w:rsidRPr="00E210CB" w:rsidRDefault="00E210CB" w:rsidP="00E210CB">
      <w:pPr>
        <w:jc w:val="both"/>
      </w:pPr>
      <w:r w:rsidRPr="00E210CB">
        <w:t>V. SULL'APPLICAZIONE DELL'ARTICOLO 41 DELLA CONVENZIONE  </w:t>
      </w:r>
    </w:p>
    <w:p w14:paraId="6376F0E6" w14:textId="77777777" w:rsidR="00E210CB" w:rsidRPr="00E210CB" w:rsidRDefault="00E210CB" w:rsidP="00E210CB">
      <w:pPr>
        <w:jc w:val="both"/>
      </w:pPr>
      <w:r w:rsidRPr="00E210CB">
        <w:t>78. Ai sensi dell'articolo 41 della Convenzione,  </w:t>
      </w:r>
    </w:p>
    <w:p w14:paraId="65049686" w14:textId="77777777" w:rsidR="00E210CB" w:rsidRPr="00E210CB" w:rsidRDefault="00E210CB" w:rsidP="00E210CB">
      <w:pPr>
        <w:jc w:val="both"/>
      </w:pPr>
      <w:r w:rsidRPr="00E210CB">
        <w:t>" Se la Corte accerta che vi è stata violazione della Convenzione o dei suoi Protocolli e se il diritto interno dell'Alta Parte contraente interessata consente solo una riparazione parziale delle conseguenze di tale violazione, la Corte, se necessario, accorda un'equa soddisfazione alla parte lesa. "  </w:t>
      </w:r>
    </w:p>
    <w:p w14:paraId="7C0F6CE4" w14:textId="77777777" w:rsidR="00E210CB" w:rsidRPr="00E210CB" w:rsidRDefault="00E210CB" w:rsidP="00E210CB">
      <w:pPr>
        <w:jc w:val="both"/>
      </w:pPr>
      <w:r w:rsidRPr="00E210CB">
        <w:rPr>
          <w:b/>
          <w:bCs/>
        </w:rPr>
        <w:t>A. Peccato  </w:t>
      </w:r>
    </w:p>
    <w:p w14:paraId="76D15B57" w14:textId="77777777" w:rsidR="00E210CB" w:rsidRPr="00E210CB" w:rsidRDefault="00E210CB" w:rsidP="00E210CB">
      <w:pPr>
        <w:jc w:val="both"/>
      </w:pPr>
      <w:r w:rsidRPr="00E210CB">
        <w:t xml:space="preserve">79. Il ricorrente presenta una perizia che quantifica il danno materiale in € 23.027,72, importo corrispondente al salario minimo </w:t>
      </w:r>
      <w:proofErr w:type="gramStart"/>
      <w:r w:rsidRPr="00E210CB">
        <w:t>( </w:t>
      </w:r>
      <w:r w:rsidRPr="00E210CB">
        <w:rPr>
          <w:i/>
          <w:iCs/>
        </w:rPr>
        <w:t>pensione</w:t>
      </w:r>
      <w:proofErr w:type="gramEnd"/>
      <w:r w:rsidRPr="00E210CB">
        <w:rPr>
          <w:i/>
          <w:iCs/>
        </w:rPr>
        <w:t xml:space="preserve"> </w:t>
      </w:r>
      <w:proofErr w:type="gramStart"/>
      <w:r w:rsidRPr="00E210CB">
        <w:rPr>
          <w:i/>
          <w:iCs/>
        </w:rPr>
        <w:t>sociale </w:t>
      </w:r>
      <w:r w:rsidRPr="00E210CB">
        <w:t>)</w:t>
      </w:r>
      <w:proofErr w:type="gramEnd"/>
      <w:r w:rsidRPr="00E210CB">
        <w:t xml:space="preserve"> che avrebbe percepito a partire dalla data della dichiarazione di fallimento. Chiede inoltre € 500.000 per danni non patrimoniali.    </w:t>
      </w:r>
    </w:p>
    <w:p w14:paraId="58AA03D4" w14:textId="77777777" w:rsidR="00E210CB" w:rsidRPr="00E210CB" w:rsidRDefault="00E210CB" w:rsidP="00E210CB">
      <w:pPr>
        <w:jc w:val="both"/>
      </w:pPr>
      <w:r w:rsidRPr="00E210CB">
        <w:t>80. Il Governo contesta tali affermazioni.  </w:t>
      </w:r>
    </w:p>
    <w:p w14:paraId="0D61B329" w14:textId="77777777" w:rsidR="00E210CB" w:rsidRPr="00E210CB" w:rsidRDefault="00E210CB" w:rsidP="00E210CB">
      <w:pPr>
        <w:jc w:val="both"/>
      </w:pPr>
      <w:r w:rsidRPr="00E210CB">
        <w:t xml:space="preserve">81. La Corte non riscontra alcun nesso di causalità tra le violazioni accertate e il danno materiale asserito e respinge la domanda. Per quanto riguarda il danno morale, ritiene che, tenuto conto di </w:t>
      </w:r>
      <w:r w:rsidRPr="00E210CB">
        <w:lastRenderedPageBreak/>
        <w:t xml:space="preserve">tutte le circostanze del caso di </w:t>
      </w:r>
      <w:proofErr w:type="gramStart"/>
      <w:r w:rsidRPr="00E210CB">
        <w:t>specie,  </w:t>
      </w:r>
      <w:bookmarkStart w:id="0" w:name="HIT1"/>
      <w:bookmarkEnd w:id="0"/>
      <w:r w:rsidRPr="00E210CB">
        <w:t>consiste</w:t>
      </w:r>
      <w:proofErr w:type="gramEnd"/>
      <w:r w:rsidRPr="00E210CB">
        <w:t xml:space="preserve"> </w:t>
      </w:r>
      <w:proofErr w:type="spellStart"/>
      <w:r w:rsidRPr="00E210CB">
        <w:t>di</w:t>
      </w:r>
      <w:bookmarkStart w:id="1" w:name="HIT2"/>
      <w:bookmarkEnd w:id="1"/>
      <w:r w:rsidRPr="00E210CB">
        <w:t>le</w:t>
      </w:r>
      <w:proofErr w:type="spellEnd"/>
      <w:r w:rsidRPr="00E210CB">
        <w:t xml:space="preserve"> violazioni elencate nella presente sentenza forniscono di per sé una sufficiente giusta soddisfazione.</w:t>
      </w:r>
    </w:p>
    <w:p w14:paraId="7822E8E2" w14:textId="77777777" w:rsidR="00E210CB" w:rsidRPr="00E210CB" w:rsidRDefault="00E210CB" w:rsidP="00E210CB">
      <w:pPr>
        <w:jc w:val="both"/>
      </w:pPr>
      <w:r w:rsidRPr="00E210CB">
        <w:rPr>
          <w:b/>
          <w:bCs/>
        </w:rPr>
        <w:t>B. Costi e spese  </w:t>
      </w:r>
    </w:p>
    <w:p w14:paraId="6E4D20C2" w14:textId="77777777" w:rsidR="00E210CB" w:rsidRPr="00E210CB" w:rsidRDefault="00E210CB" w:rsidP="00E210CB">
      <w:pPr>
        <w:jc w:val="both"/>
      </w:pPr>
      <w:r w:rsidRPr="00E210CB">
        <w:t>82. Il ricorrente chiede inoltre 19.979,39 euro per spese e onorari sostenuti dinanzi alla Corte e 1.571,48 euro per onorari di perizia.    </w:t>
      </w:r>
    </w:p>
    <w:p w14:paraId="1FEE99A8" w14:textId="77777777" w:rsidR="00E210CB" w:rsidRPr="00E210CB" w:rsidRDefault="00E210CB" w:rsidP="00E210CB">
      <w:pPr>
        <w:jc w:val="both"/>
      </w:pPr>
      <w:r w:rsidRPr="00E210CB">
        <w:t>83. Il Governo si oppone a queste affermazioni.  </w:t>
      </w:r>
    </w:p>
    <w:p w14:paraId="1F897A28" w14:textId="77777777" w:rsidR="00E210CB" w:rsidRPr="00E210CB" w:rsidRDefault="00E210CB" w:rsidP="00E210CB">
      <w:pPr>
        <w:jc w:val="both"/>
      </w:pPr>
      <w:r w:rsidRPr="00E210CB">
        <w:t>84. Secondo la giurisprudenza della Corte, un ricorrente può ottenere il rimborso delle spese processuali solo nella misura in cui ne siano accertate la realtà, la necessità e la ragionevolezza. Nel caso di specie, e tenuto conto delle prove presentate e dei criteri sopra menzionati, la Corte ritiene ragionevole la somma di 2.000 euro a titolo di spese processuali e la accorda al ricorrente.   </w:t>
      </w:r>
    </w:p>
    <w:p w14:paraId="782005E1" w14:textId="77777777" w:rsidR="00E210CB" w:rsidRPr="00E210CB" w:rsidRDefault="00E210CB" w:rsidP="00E210CB">
      <w:pPr>
        <w:jc w:val="both"/>
      </w:pPr>
      <w:r w:rsidRPr="00E210CB">
        <w:rPr>
          <w:b/>
          <w:bCs/>
        </w:rPr>
        <w:t>C. Interessi di mora  </w:t>
      </w:r>
    </w:p>
    <w:p w14:paraId="7F8E6F29" w14:textId="77777777" w:rsidR="00E210CB" w:rsidRPr="00E210CB" w:rsidRDefault="00E210CB" w:rsidP="00E210CB">
      <w:pPr>
        <w:jc w:val="both"/>
      </w:pPr>
      <w:r w:rsidRPr="00E210CB">
        <w:t>85. La Corte ritiene opportuno basare il tasso degli interessi di mora sul tasso di interesse delle operazioni di rifinanziamento marginale della Banca centrale europea, maggiorato di tre punti percentuali.  </w:t>
      </w:r>
    </w:p>
    <w:p w14:paraId="164B83CA" w14:textId="77777777" w:rsidR="00E210CB" w:rsidRPr="00E210CB" w:rsidRDefault="00E210CB" w:rsidP="00E210CB">
      <w:pPr>
        <w:jc w:val="both"/>
      </w:pPr>
      <w:r w:rsidRPr="00E210CB">
        <w:t>PER QUESTE RAGIONI, LA CORTE, ALL'UNANIMITÀ,</w:t>
      </w:r>
    </w:p>
    <w:p w14:paraId="6A0B94A7" w14:textId="77777777" w:rsidR="00E210CB" w:rsidRPr="00E210CB" w:rsidRDefault="00E210CB" w:rsidP="00E210CB">
      <w:pPr>
        <w:jc w:val="both"/>
      </w:pPr>
      <w:r w:rsidRPr="00E210CB">
        <w:t>1. </w:t>
      </w:r>
      <w:r w:rsidRPr="00E210CB">
        <w:rPr>
          <w:i/>
          <w:iCs/>
        </w:rPr>
        <w:t>Dichiara </w:t>
      </w:r>
      <w:r w:rsidRPr="00E210CB">
        <w:t>il ricorso irricevibile per quanto riguarda i motivi fondati sull'articolo 8 della Convenzione, sul diritto al rispetto della corrispondenza, sull'articolo 1 del Protocollo n. </w:t>
      </w:r>
      <w:proofErr w:type="gramStart"/>
      <w:r w:rsidRPr="00E210CB">
        <w:t>1 ,</w:t>
      </w:r>
      <w:proofErr w:type="gramEnd"/>
      <w:r w:rsidRPr="00E210CB">
        <w:t xml:space="preserve"> sull'articolo 2 del Protocollo n. 4 e sulla prolungata restrizione del diritto del ricorrente al rispetto della sua proprietà, della sua corrispondenza e della sua libertà di circolazione, articolo 13 della Convenzione, e ricevibile per il </w:t>
      </w:r>
      <w:proofErr w:type="gramStart"/>
      <w:r w:rsidRPr="00E210CB">
        <w:t>resto ;</w:t>
      </w:r>
      <w:proofErr w:type="gramEnd"/>
      <w:r w:rsidRPr="00E210CB">
        <w:t>   </w:t>
      </w:r>
    </w:p>
    <w:p w14:paraId="54DC659C" w14:textId="77777777" w:rsidR="00E210CB" w:rsidRPr="00E210CB" w:rsidRDefault="00E210CB" w:rsidP="00E210CB">
      <w:pPr>
        <w:jc w:val="both"/>
      </w:pPr>
      <w:r w:rsidRPr="00E210CB">
        <w:t>2. </w:t>
      </w:r>
      <w:r w:rsidRPr="00E210CB">
        <w:rPr>
          <w:i/>
          <w:iCs/>
        </w:rPr>
        <w:t>Ritiene </w:t>
      </w:r>
      <w:r w:rsidRPr="00E210CB">
        <w:t xml:space="preserve">che vi sia stata violazione dell'articolo 8 della Convenzione, per quanto riguarda il diritto al rispetto della vita privata, dell'articolo 3 del Protocollo n. 1 e, per quanto riguarda le incapacità personali derivanti dall'iscrizione del nome del fallito nel registro dei falliti, dell'articolo 13 della </w:t>
      </w:r>
      <w:proofErr w:type="gramStart"/>
      <w:r w:rsidRPr="00E210CB">
        <w:t>Convenzione ;</w:t>
      </w:r>
      <w:proofErr w:type="gramEnd"/>
      <w:r w:rsidRPr="00E210CB">
        <w:t>   </w:t>
      </w:r>
    </w:p>
    <w:p w14:paraId="0C5C1CED" w14:textId="77777777" w:rsidR="00E210CB" w:rsidRPr="00E210CB" w:rsidRDefault="00E210CB" w:rsidP="00E210CB">
      <w:pPr>
        <w:jc w:val="both"/>
      </w:pPr>
      <w:r w:rsidRPr="00E210CB">
        <w:t>3. </w:t>
      </w:r>
      <w:r w:rsidRPr="00E210CB">
        <w:rPr>
          <w:i/>
          <w:iCs/>
        </w:rPr>
        <w:t>Ritiene </w:t>
      </w:r>
      <w:r w:rsidRPr="00E210CB">
        <w:t xml:space="preserve">che l'accertamento delle violazioni costituisca di per sé una giusta soddisfazione sufficiente per il danno morale subito dal </w:t>
      </w:r>
      <w:proofErr w:type="gramStart"/>
      <w:r w:rsidRPr="00E210CB">
        <w:t>ricorrente ;</w:t>
      </w:r>
      <w:proofErr w:type="gramEnd"/>
      <w:r w:rsidRPr="00E210CB">
        <w:t>   </w:t>
      </w:r>
    </w:p>
    <w:p w14:paraId="3E52DE9E" w14:textId="3FC24221" w:rsidR="00E210CB" w:rsidRPr="00E210CB" w:rsidRDefault="00E210CB" w:rsidP="00E210CB">
      <w:pPr>
        <w:jc w:val="both"/>
      </w:pPr>
      <w:r w:rsidRPr="00E210CB">
        <w:rPr>
          <w:i/>
          <w:iCs/>
        </w:rPr>
        <w:t>4. </w:t>
      </w:r>
      <w:r>
        <w:rPr>
          <w:i/>
          <w:iCs/>
        </w:rPr>
        <w:t>In particolare:</w:t>
      </w:r>
      <w:r w:rsidRPr="00E210CB">
        <w:rPr>
          <w:i/>
          <w:iCs/>
        </w:rPr>
        <w:t>  </w:t>
      </w:r>
    </w:p>
    <w:p w14:paraId="0C331989" w14:textId="77777777" w:rsidR="00E210CB" w:rsidRPr="00E210CB" w:rsidRDefault="00E210CB" w:rsidP="00E210CB">
      <w:pPr>
        <w:jc w:val="both"/>
      </w:pPr>
      <w:r w:rsidRPr="00E210CB">
        <w:t xml:space="preserve">a) che lo Stato convenuto deve versare al ricorrente, entro tre mesi dal giorno in cui la sentenza diventa definitiva ai sensi dell'articolo 44 § 2 della Convenzione, 2.000 euro (duemila euro) per spese e costi, oltre a qualsiasi importo che possa essere imponibile a titolo di </w:t>
      </w:r>
      <w:proofErr w:type="gramStart"/>
      <w:r w:rsidRPr="00E210CB">
        <w:t>imposta ;</w:t>
      </w:r>
      <w:proofErr w:type="gramEnd"/>
      <w:r w:rsidRPr="00E210CB">
        <w:t>       </w:t>
      </w:r>
    </w:p>
    <w:p w14:paraId="1F6750D9" w14:textId="77777777" w:rsidR="00E210CB" w:rsidRPr="00E210CB" w:rsidRDefault="00E210CB" w:rsidP="00E210CB">
      <w:pPr>
        <w:jc w:val="both"/>
      </w:pPr>
      <w:r w:rsidRPr="00E210CB">
        <w:t xml:space="preserve">b) che dalla scadenza del suddetto periodo fino al pagamento, tale importo sarà maggiorato di un interesse semplice ad un tasso pari a quello delle operazioni di rifinanziamento marginale della Banca centrale europea applicabili durante tale periodo, maggiorato di tre punti </w:t>
      </w:r>
      <w:proofErr w:type="gramStart"/>
      <w:r w:rsidRPr="00E210CB">
        <w:t>percentuali ;</w:t>
      </w:r>
      <w:proofErr w:type="gramEnd"/>
      <w:r w:rsidRPr="00E210CB">
        <w:t>   </w:t>
      </w:r>
    </w:p>
    <w:p w14:paraId="50656077" w14:textId="77777777" w:rsidR="00E210CB" w:rsidRPr="00E210CB" w:rsidRDefault="00E210CB" w:rsidP="00E210CB">
      <w:pPr>
        <w:jc w:val="both"/>
      </w:pPr>
      <w:r w:rsidRPr="00E210CB">
        <w:t>5. </w:t>
      </w:r>
      <w:r w:rsidRPr="00E210CB">
        <w:rPr>
          <w:i/>
          <w:iCs/>
        </w:rPr>
        <w:t>Rifiuta </w:t>
      </w:r>
      <w:r w:rsidRPr="00E210CB">
        <w:t>la richiesta di equa soddisfazione per il surplus.  </w:t>
      </w:r>
    </w:p>
    <w:p w14:paraId="195CE616" w14:textId="77777777" w:rsidR="00E210CB" w:rsidRPr="00E210CB" w:rsidRDefault="00E210CB" w:rsidP="00E210CB">
      <w:pPr>
        <w:jc w:val="both"/>
      </w:pPr>
      <w:r w:rsidRPr="00E210CB">
        <w:lastRenderedPageBreak/>
        <w:t>Redatto in francese, poi comunicato per iscritto il 23 marzo 2006 ai sensi dell'articolo 77 §§ 2 e 3 del regolamento.</w:t>
      </w:r>
    </w:p>
    <w:p w14:paraId="0AEC600C" w14:textId="5811094C" w:rsidR="00667B1D" w:rsidRDefault="00E210CB" w:rsidP="00E210CB">
      <w:pPr>
        <w:jc w:val="both"/>
      </w:pPr>
      <w:proofErr w:type="spellStart"/>
      <w:r w:rsidRPr="00E210CB">
        <w:t>Boštjan</w:t>
      </w:r>
      <w:proofErr w:type="spellEnd"/>
      <w:r w:rsidRPr="00E210CB">
        <w:t xml:space="preserve"> M. </w:t>
      </w:r>
      <w:proofErr w:type="spellStart"/>
      <w:r w:rsidRPr="00E210CB">
        <w:t>Zupančič</w:t>
      </w:r>
      <w:proofErr w:type="spellEnd"/>
      <w:r w:rsidR="00667B1D">
        <w:t xml:space="preserve"> Presidente</w:t>
      </w:r>
    </w:p>
    <w:p w14:paraId="7DBFB345" w14:textId="247ABF2B" w:rsidR="00667B1D" w:rsidRDefault="00E210CB" w:rsidP="00667B1D">
      <w:pPr>
        <w:jc w:val="both"/>
      </w:pPr>
      <w:r w:rsidRPr="00E210CB">
        <w:t> </w:t>
      </w:r>
      <w:r w:rsidR="00667B1D" w:rsidRPr="00E210CB">
        <w:t> Vincent Berger</w:t>
      </w:r>
      <w:r w:rsidR="00667B1D">
        <w:t xml:space="preserve"> Cancelliere</w:t>
      </w:r>
    </w:p>
    <w:sectPr w:rsidR="00667B1D">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2352" w14:textId="77777777" w:rsidR="00C63575" w:rsidRDefault="00C63575" w:rsidP="00667B1D">
      <w:pPr>
        <w:spacing w:after="0" w:line="240" w:lineRule="auto"/>
      </w:pPr>
      <w:r>
        <w:separator/>
      </w:r>
    </w:p>
  </w:endnote>
  <w:endnote w:type="continuationSeparator" w:id="0">
    <w:p w14:paraId="6933285A" w14:textId="77777777" w:rsidR="00C63575" w:rsidRDefault="00C63575" w:rsidP="0066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38781"/>
      <w:docPartObj>
        <w:docPartGallery w:val="Page Numbers (Bottom of Page)"/>
        <w:docPartUnique/>
      </w:docPartObj>
    </w:sdtPr>
    <w:sdtContent>
      <w:p w14:paraId="1F6420FF" w14:textId="7D556305" w:rsidR="00667B1D" w:rsidRDefault="00667B1D">
        <w:pPr>
          <w:pStyle w:val="Pidipagina"/>
          <w:jc w:val="center"/>
        </w:pPr>
        <w:r>
          <w:fldChar w:fldCharType="begin"/>
        </w:r>
        <w:r>
          <w:instrText>PAGE   \* MERGEFORMAT</w:instrText>
        </w:r>
        <w:r>
          <w:fldChar w:fldCharType="separate"/>
        </w:r>
        <w:r>
          <w:t>2</w:t>
        </w:r>
        <w:r>
          <w:fldChar w:fldCharType="end"/>
        </w:r>
      </w:p>
    </w:sdtContent>
  </w:sdt>
  <w:p w14:paraId="2382FA51" w14:textId="77777777" w:rsidR="00667B1D" w:rsidRDefault="00667B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5717" w14:textId="77777777" w:rsidR="00C63575" w:rsidRDefault="00C63575" w:rsidP="00667B1D">
      <w:pPr>
        <w:spacing w:after="0" w:line="240" w:lineRule="auto"/>
      </w:pPr>
      <w:r>
        <w:separator/>
      </w:r>
    </w:p>
  </w:footnote>
  <w:footnote w:type="continuationSeparator" w:id="0">
    <w:p w14:paraId="7D6BC6E6" w14:textId="77777777" w:rsidR="00C63575" w:rsidRDefault="00C63575" w:rsidP="00667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CB"/>
    <w:rsid w:val="00045656"/>
    <w:rsid w:val="000C265A"/>
    <w:rsid w:val="002533C2"/>
    <w:rsid w:val="003C3531"/>
    <w:rsid w:val="003E30D8"/>
    <w:rsid w:val="0043498E"/>
    <w:rsid w:val="00667B1D"/>
    <w:rsid w:val="0078364A"/>
    <w:rsid w:val="00A16DE7"/>
    <w:rsid w:val="00BB24E6"/>
    <w:rsid w:val="00C63575"/>
    <w:rsid w:val="00E21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EFBD"/>
  <w15:chartTrackingRefBased/>
  <w15:docId w15:val="{888BDE09-A15D-4C96-BAB9-4E76880B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1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21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210C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210C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210C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210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10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10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10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10C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210C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210C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210C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210C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210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10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10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10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1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10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10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10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10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10CB"/>
    <w:rPr>
      <w:i/>
      <w:iCs/>
      <w:color w:val="404040" w:themeColor="text1" w:themeTint="BF"/>
    </w:rPr>
  </w:style>
  <w:style w:type="paragraph" w:styleId="Paragrafoelenco">
    <w:name w:val="List Paragraph"/>
    <w:basedOn w:val="Normale"/>
    <w:uiPriority w:val="34"/>
    <w:qFormat/>
    <w:rsid w:val="00E210CB"/>
    <w:pPr>
      <w:ind w:left="720"/>
      <w:contextualSpacing/>
    </w:pPr>
  </w:style>
  <w:style w:type="character" w:styleId="Enfasiintensa">
    <w:name w:val="Intense Emphasis"/>
    <w:basedOn w:val="Carpredefinitoparagrafo"/>
    <w:uiPriority w:val="21"/>
    <w:qFormat/>
    <w:rsid w:val="00E210CB"/>
    <w:rPr>
      <w:i/>
      <w:iCs/>
      <w:color w:val="2F5496" w:themeColor="accent1" w:themeShade="BF"/>
    </w:rPr>
  </w:style>
  <w:style w:type="paragraph" w:styleId="Citazioneintensa">
    <w:name w:val="Intense Quote"/>
    <w:basedOn w:val="Normale"/>
    <w:next w:val="Normale"/>
    <w:link w:val="CitazioneintensaCarattere"/>
    <w:uiPriority w:val="30"/>
    <w:qFormat/>
    <w:rsid w:val="00E21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210CB"/>
    <w:rPr>
      <w:i/>
      <w:iCs/>
      <w:color w:val="2F5496" w:themeColor="accent1" w:themeShade="BF"/>
    </w:rPr>
  </w:style>
  <w:style w:type="character" w:styleId="Riferimentointenso">
    <w:name w:val="Intense Reference"/>
    <w:basedOn w:val="Carpredefinitoparagrafo"/>
    <w:uiPriority w:val="32"/>
    <w:qFormat/>
    <w:rsid w:val="00E210CB"/>
    <w:rPr>
      <w:b/>
      <w:bCs/>
      <w:smallCaps/>
      <w:color w:val="2F5496" w:themeColor="accent1" w:themeShade="BF"/>
      <w:spacing w:val="5"/>
    </w:rPr>
  </w:style>
  <w:style w:type="character" w:styleId="Collegamentoipertestuale">
    <w:name w:val="Hyperlink"/>
    <w:basedOn w:val="Carpredefinitoparagrafo"/>
    <w:uiPriority w:val="99"/>
    <w:unhideWhenUsed/>
    <w:rsid w:val="00E210CB"/>
    <w:rPr>
      <w:color w:val="0563C1" w:themeColor="hyperlink"/>
      <w:u w:val="single"/>
    </w:rPr>
  </w:style>
  <w:style w:type="character" w:styleId="Menzionenonrisolta">
    <w:name w:val="Unresolved Mention"/>
    <w:basedOn w:val="Carpredefinitoparagrafo"/>
    <w:uiPriority w:val="99"/>
    <w:semiHidden/>
    <w:unhideWhenUsed/>
    <w:rsid w:val="00E210CB"/>
    <w:rPr>
      <w:color w:val="605E5C"/>
      <w:shd w:val="clear" w:color="auto" w:fill="E1DFDD"/>
    </w:rPr>
  </w:style>
  <w:style w:type="paragraph" w:styleId="Intestazione">
    <w:name w:val="header"/>
    <w:basedOn w:val="Normale"/>
    <w:link w:val="IntestazioneCarattere"/>
    <w:uiPriority w:val="99"/>
    <w:unhideWhenUsed/>
    <w:rsid w:val="00667B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B1D"/>
  </w:style>
  <w:style w:type="paragraph" w:styleId="Pidipagina">
    <w:name w:val="footer"/>
    <w:basedOn w:val="Normale"/>
    <w:link w:val="PidipaginaCarattere"/>
    <w:uiPriority w:val="99"/>
    <w:unhideWhenUsed/>
    <w:rsid w:val="00667B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styles" Target="styles.xm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6959</Words>
  <Characters>39669</Characters>
  <Application>Microsoft Office Word</Application>
  <DocSecurity>0</DocSecurity>
  <Lines>330</Lines>
  <Paragraphs>93</Paragraphs>
  <ScaleCrop>false</ScaleCrop>
  <Company>Ministero della Giustizia</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2</cp:revision>
  <dcterms:created xsi:type="dcterms:W3CDTF">2025-11-06T12:32:00Z</dcterms:created>
  <dcterms:modified xsi:type="dcterms:W3CDTF">2025-11-06T12:32:00Z</dcterms:modified>
</cp:coreProperties>
</file>